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52800" cy="10677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pla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1067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9"/>
          <w:footerReference w:type="default" r:id="rId10"/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Contents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1. How to read this plan</w:t>
      </w:r>
      <w:r>
        <w:rPr>
          <w:color w:val="444444"/>
          <w:sz w:val="18"/>
        </w:rPr>
        <w:tab/>
        <w:t>2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2. Project statement</w:t>
      </w:r>
      <w:r>
        <w:rPr>
          <w:color w:val="444444"/>
          <w:sz w:val="18"/>
        </w:rPr>
        <w:tab/>
        <w:t>2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2.1 Scope</w:t>
      </w:r>
      <w:r>
        <w:rPr>
          <w:color w:val="444444"/>
          <w:sz w:val="17"/>
        </w:rPr>
        <w:tab/>
        <w:t>2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2.2 Out of scope</w:t>
      </w:r>
      <w:r>
        <w:rPr>
          <w:color w:val="444444"/>
          <w:sz w:val="17"/>
        </w:rPr>
        <w:tab/>
        <w:t>2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2.3 Success criteria</w:t>
      </w:r>
      <w:r>
        <w:rPr>
          <w:color w:val="444444"/>
          <w:sz w:val="17"/>
        </w:rPr>
        <w:tab/>
        <w:t>2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3. Deliverable catalogue</w:t>
      </w:r>
      <w:r>
        <w:rPr>
          <w:color w:val="444444"/>
          <w:sz w:val="18"/>
        </w:rPr>
        <w:tab/>
        <w:t>2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4. Schedule</w:t>
      </w:r>
      <w:r>
        <w:rPr>
          <w:color w:val="444444"/>
          <w:sz w:val="18"/>
        </w:rPr>
        <w:tab/>
        <w:t>3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4.1 Scenario timelines</w:t>
      </w:r>
      <w:r>
        <w:rPr>
          <w:color w:val="444444"/>
          <w:sz w:val="17"/>
        </w:rPr>
        <w:tab/>
        <w:t>4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4.2 Critical path</w:t>
      </w:r>
      <w:r>
        <w:rPr>
          <w:color w:val="444444"/>
          <w:sz w:val="17"/>
        </w:rPr>
        <w:tab/>
        <w:t>4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4.3 Task schedule by workstream (Core scenario)</w:t>
      </w:r>
      <w:r>
        <w:rPr>
          <w:color w:val="444444"/>
          <w:sz w:val="17"/>
        </w:rPr>
        <w:tab/>
        <w:t>4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5. Team, rates and resources</w:t>
      </w:r>
      <w:r>
        <w:rPr>
          <w:color w:val="444444"/>
          <w:sz w:val="18"/>
        </w:rPr>
        <w:tab/>
        <w:t>8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5.1 Roles and rates</w:t>
      </w:r>
      <w:r>
        <w:rPr>
          <w:color w:val="444444"/>
          <w:sz w:val="17"/>
        </w:rPr>
        <w:tab/>
        <w:t>8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5.2 Resource model by scenario</w:t>
      </w:r>
      <w:r>
        <w:rPr>
          <w:color w:val="444444"/>
          <w:sz w:val="17"/>
        </w:rPr>
        <w:tab/>
        <w:t>8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5.3 Staffing plan (FTE by year, Core scenario)</w:t>
      </w:r>
      <w:r>
        <w:rPr>
          <w:color w:val="444444"/>
          <w:sz w:val="17"/>
        </w:rPr>
        <w:tab/>
        <w:t>8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6. Cost estimation</w:t>
      </w:r>
      <w:r>
        <w:rPr>
          <w:color w:val="444444"/>
          <w:sz w:val="18"/>
        </w:rPr>
        <w:tab/>
        <w:t>8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6.1 Scenario totals</w:t>
      </w:r>
      <w:r>
        <w:rPr>
          <w:color w:val="444444"/>
          <w:sz w:val="17"/>
        </w:rPr>
        <w:tab/>
        <w:t>9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6.2 Cost lines — Lean scenario</w:t>
      </w:r>
      <w:r>
        <w:rPr>
          <w:color w:val="444444"/>
          <w:sz w:val="17"/>
        </w:rPr>
        <w:tab/>
        <w:t>9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6.3 Cost lines — Core scenario (recommended)</w:t>
      </w:r>
      <w:r>
        <w:rPr>
          <w:color w:val="444444"/>
          <w:sz w:val="17"/>
        </w:rPr>
        <w:tab/>
        <w:t>9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6.4 Cost lines — Full scenario</w:t>
      </w:r>
      <w:r>
        <w:rPr>
          <w:color w:val="444444"/>
          <w:sz w:val="17"/>
        </w:rPr>
        <w:tab/>
        <w:t>10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6.5 Cost by category and structure</w:t>
      </w:r>
      <w:r>
        <w:rPr>
          <w:color w:val="444444"/>
          <w:sz w:val="17"/>
        </w:rPr>
        <w:tab/>
        <w:t>11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6.6 Cost by year</w:t>
      </w:r>
      <w:r>
        <w:rPr>
          <w:color w:val="444444"/>
          <w:sz w:val="17"/>
        </w:rPr>
        <w:tab/>
        <w:t>11</w:t>
      </w:r>
    </w:p>
    <w:p>
      <w:pPr>
        <w:tabs>
          <w:tab w:pos="9638" w:val="right" w:leader="dot"/>
        </w:tabs>
        <w:spacing w:after="10"/>
        <w:ind w:left="624"/>
      </w:pPr>
      <w:r>
        <w:rPr>
          <w:b w:val="0"/>
          <w:color w:val="333333"/>
          <w:sz w:val="16"/>
        </w:rPr>
        <w:t>Lean scenario — cost by year (2027–2029, 3 years)</w:t>
      </w:r>
      <w:r>
        <w:rPr>
          <w:color w:val="444444"/>
          <w:sz w:val="16"/>
        </w:rPr>
        <w:tab/>
        <w:t>11</w:t>
      </w:r>
    </w:p>
    <w:p>
      <w:pPr>
        <w:tabs>
          <w:tab w:pos="9638" w:val="right" w:leader="dot"/>
        </w:tabs>
        <w:spacing w:after="10"/>
        <w:ind w:left="624"/>
      </w:pPr>
      <w:r>
        <w:rPr>
          <w:b w:val="0"/>
          <w:color w:val="333333"/>
          <w:sz w:val="16"/>
        </w:rPr>
        <w:t>Core scenario — cost by year (2027–2030, 4 years)</w:t>
      </w:r>
      <w:r>
        <w:rPr>
          <w:color w:val="444444"/>
          <w:sz w:val="16"/>
        </w:rPr>
        <w:tab/>
        <w:t>11</w:t>
      </w:r>
    </w:p>
    <w:p>
      <w:pPr>
        <w:tabs>
          <w:tab w:pos="9638" w:val="right" w:leader="dot"/>
        </w:tabs>
        <w:spacing w:after="10"/>
        <w:ind w:left="624"/>
      </w:pPr>
      <w:r>
        <w:rPr>
          <w:b w:val="0"/>
          <w:color w:val="333333"/>
          <w:sz w:val="16"/>
        </w:rPr>
        <w:t>Full scenario — cost by year (2027–2031, 5 years)</w:t>
      </w:r>
      <w:r>
        <w:rPr>
          <w:color w:val="444444"/>
          <w:sz w:val="16"/>
        </w:rPr>
        <w:tab/>
        <w:t>12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7. Funding strategy</w:t>
      </w:r>
      <w:r>
        <w:rPr>
          <w:color w:val="444444"/>
          <w:sz w:val="18"/>
        </w:rPr>
        <w:tab/>
        <w:t>12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7.1 Target mix</w:t>
      </w:r>
      <w:r>
        <w:rPr>
          <w:color w:val="444444"/>
          <w:sz w:val="17"/>
        </w:rPr>
        <w:tab/>
        <w:t>12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7.2 Pipeline discipline</w:t>
      </w:r>
      <w:r>
        <w:rPr>
          <w:color w:val="444444"/>
          <w:sz w:val="17"/>
        </w:rPr>
        <w:tab/>
        <w:t>12</w:t>
      </w:r>
    </w:p>
    <w:p>
      <w:pPr>
        <w:tabs>
          <w:tab w:pos="9638" w:val="right" w:leader="dot"/>
        </w:tabs>
        <w:spacing w:after="30"/>
        <w:ind w:left="312"/>
      </w:pPr>
      <w:r>
        <w:rPr>
          <w:b w:val="0"/>
          <w:color w:val="333333"/>
          <w:sz w:val="17"/>
        </w:rPr>
        <w:t>7.3 Phasing and stop-go</w:t>
      </w:r>
      <w:r>
        <w:rPr>
          <w:color w:val="444444"/>
          <w:sz w:val="17"/>
        </w:rPr>
        <w:tab/>
        <w:t>12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8. Governance and reporting</w:t>
      </w:r>
      <w:r>
        <w:rPr>
          <w:color w:val="444444"/>
          <w:sz w:val="18"/>
        </w:rPr>
        <w:tab/>
        <w:t>12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9. Quality management</w:t>
      </w:r>
      <w:r>
        <w:rPr>
          <w:color w:val="444444"/>
          <w:sz w:val="18"/>
        </w:rPr>
        <w:tab/>
        <w:t>13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10. Procurement, legal and data operations</w:t>
      </w:r>
      <w:r>
        <w:rPr>
          <w:color w:val="444444"/>
          <w:sz w:val="18"/>
        </w:rPr>
        <w:tab/>
        <w:t>13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11. Risk management (project view)</w:t>
      </w:r>
      <w:r>
        <w:rPr>
          <w:color w:val="444444"/>
          <w:sz w:val="18"/>
        </w:rPr>
        <w:tab/>
        <w:t>13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12. KPIs and milestone reviews</w:t>
      </w:r>
      <w:r>
        <w:rPr>
          <w:color w:val="444444"/>
          <w:sz w:val="18"/>
        </w:rPr>
        <w:tab/>
        <w:t>14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13. Sustainability and exit</w:t>
      </w:r>
      <w:r>
        <w:rPr>
          <w:color w:val="444444"/>
          <w:sz w:val="18"/>
        </w:rPr>
        <w:tab/>
        <w:t>14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Annex A. Cost lines in full (all scenarios)</w:t>
      </w:r>
      <w:r>
        <w:rPr>
          <w:color w:val="444444"/>
          <w:sz w:val="18"/>
        </w:rPr>
        <w:tab/>
        <w:t>15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Annex B. Staffing plans (Lean and Full)</w:t>
      </w:r>
      <w:r>
        <w:rPr>
          <w:color w:val="444444"/>
          <w:sz w:val="18"/>
        </w:rPr>
        <w:tab/>
        <w:t>15</w:t>
      </w:r>
    </w:p>
    <w:p>
      <w:pPr>
        <w:tabs>
          <w:tab w:pos="9638" w:val="right" w:leader="dot"/>
        </w:tabs>
        <w:spacing w:after="10"/>
        <w:ind w:left="624"/>
      </w:pPr>
      <w:r>
        <w:rPr>
          <w:b w:val="0"/>
          <w:color w:val="333333"/>
          <w:sz w:val="16"/>
        </w:rPr>
        <w:t>Lean scenario (3 years)</w:t>
      </w:r>
      <w:r>
        <w:rPr>
          <w:color w:val="444444"/>
          <w:sz w:val="16"/>
        </w:rPr>
        <w:tab/>
        <w:t>15</w:t>
      </w:r>
    </w:p>
    <w:p>
      <w:pPr>
        <w:tabs>
          <w:tab w:pos="9638" w:val="right" w:leader="dot"/>
        </w:tabs>
        <w:spacing w:after="10"/>
        <w:ind w:left="624"/>
      </w:pPr>
      <w:r>
        <w:rPr>
          <w:b w:val="0"/>
          <w:color w:val="333333"/>
          <w:sz w:val="16"/>
        </w:rPr>
        <w:t>Full scenario (5 years)</w:t>
      </w:r>
      <w:r>
        <w:rPr>
          <w:color w:val="444444"/>
          <w:sz w:val="16"/>
        </w:rPr>
        <w:tab/>
        <w:t>15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Annex C. Compute and annotation estimation</w:t>
      </w:r>
      <w:r>
        <w:rPr>
          <w:color w:val="444444"/>
          <w:sz w:val="18"/>
        </w:rPr>
        <w:tab/>
        <w:t>16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Annex D. WBS export</w:t>
      </w:r>
      <w:r>
        <w:rPr>
          <w:color w:val="444444"/>
          <w:sz w:val="18"/>
        </w:rPr>
        <w:tab/>
        <w:t>16</w:t>
      </w:r>
    </w:p>
    <w:p>
      <w:pPr>
        <w:tabs>
          <w:tab w:pos="9638" w:val="right" w:leader="dot"/>
        </w:tabs>
        <w:spacing w:after="30"/>
      </w:pPr>
      <w:r>
        <w:rPr>
          <w:b/>
          <w:color w:val="14443C"/>
          <w:sz w:val="18"/>
        </w:rPr>
        <w:t>References</w:t>
      </w:r>
      <w:r>
        <w:rPr>
          <w:color w:val="444444"/>
          <w:sz w:val="18"/>
        </w:rPr>
        <w:tab/>
        <w:t>16</w:t>
      </w:r>
      <w:r>
        <w:fldChar w:fldCharType="end"/>
      </w:r>
    </w:p>
    <w:p>
      <w:r>
        <w:br w:type="page"/>
      </w:r>
    </w:p>
    <w:p>
      <w:pPr>
        <w:pStyle w:val="Heading1"/>
      </w:pPr>
      <w:r>
        <w:t>1. How to read this plan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spacing w:after="100"/>
      </w:pPr>
      <w:r>
        <w:rPr>
          <w:b w:val="0"/>
          <w:i w:val="0"/>
          <w:sz w:val="19"/>
        </w:rPr>
        <w:t>This plan is written to be executed, audited and costed by people who did not write it. Each section answers a different question:</w:t>
      </w:r>
    </w:p>
    <w:p>
      <w:pPr>
        <w:pStyle w:val="ListBullet"/>
        <w:spacing w:after="50"/>
      </w:pPr>
      <w:r>
        <w:rPr>
          <w:sz w:val="19"/>
        </w:rPr>
        <w:t>Section 2: what the project is and what success means.</w:t>
      </w:r>
    </w:p>
    <w:p>
      <w:pPr>
        <w:pStyle w:val="ListBullet"/>
        <w:spacing w:after="50"/>
      </w:pPr>
      <w:r>
        <w:rPr>
          <w:sz w:val="19"/>
        </w:rPr>
        <w:t>Section 3: the deliverables, numbered D1–D38, each owned by a workstream from the Study Proposal.</w:t>
      </w:r>
    </w:p>
    <w:p>
      <w:pPr>
        <w:pStyle w:val="ListBullet"/>
        <w:spacing w:after="50"/>
      </w:pPr>
      <w:r>
        <w:rPr>
          <w:sz w:val="19"/>
        </w:rPr>
        <w:t>Section 4: the schedule — task tables by workstream, the critical path, and the three scenario timelines.</w:t>
      </w:r>
    </w:p>
    <w:p>
      <w:pPr>
        <w:pStyle w:val="ListBullet"/>
        <w:spacing w:after="50"/>
      </w:pPr>
      <w:r>
        <w:rPr>
          <w:sz w:val="19"/>
        </w:rPr>
        <w:t>Section 5: the team, rates and resource model (compute, annotation, facilities).</w:t>
      </w:r>
    </w:p>
    <w:p>
      <w:pPr>
        <w:pStyle w:val="ListBullet"/>
        <w:spacing w:after="50"/>
      </w:pPr>
      <w:r>
        <w:rPr>
          <w:sz w:val="19"/>
        </w:rPr>
        <w:t>Section 6: the cost estimation — full tables for all three scenarios, per year and per category, with the arithmetic basis stated.</w:t>
      </w:r>
    </w:p>
    <w:p>
      <w:pPr>
        <w:pStyle w:val="ListBullet"/>
        <w:spacing w:after="50"/>
      </w:pPr>
      <w:r>
        <w:rPr>
          <w:sz w:val="19"/>
        </w:rPr>
        <w:t>Section 7: funding strategy and the outreach pipeline.</w:t>
      </w:r>
    </w:p>
    <w:p>
      <w:pPr>
        <w:pStyle w:val="ListBullet"/>
        <w:spacing w:after="50"/>
      </w:pPr>
      <w:r>
        <w:rPr>
          <w:sz w:val="19"/>
        </w:rPr>
        <w:t>Sections 8–12: governance, quality management, procurement and legal, KPIs, and sustainability.</w:t>
      </w:r>
    </w:p>
    <w:p>
      <w:pPr>
        <w:pStyle w:val="ListBullet"/>
        <w:spacing w:after="50"/>
      </w:pPr>
      <w:r>
        <w:rPr>
          <w:sz w:val="19"/>
        </w:rPr>
        <w:t>Annexes: detailed cost lines, FTE plans, compute estimates, and the task WBS in exportable form.</w:t>
      </w:r>
    </w:p>
    <w:p>
      <w:pPr>
        <w:spacing w:after="100"/>
      </w:pPr>
      <w:r>
        <w:rPr>
          <w:b w:val="0"/>
          <w:i w:val="0"/>
          <w:sz w:val="19"/>
        </w:rPr>
        <w:t>All monetary values are planning estimates in euro as of September 2026. Scenarios are delivery options, not fundraising targets; the Core scenario is the recommended basis for grant applications.</w:t>
      </w:r>
    </w:p>
    <w:p>
      <w:pPr>
        <w:pStyle w:val="Heading1"/>
      </w:pPr>
      <w:r>
        <w:t>2. Project statement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pStyle w:val="Heading2"/>
      </w:pPr>
      <w:r>
        <w:t>2.1 Scope</w:t>
      </w:r>
    </w:p>
    <w:p>
      <w:pPr>
        <w:spacing w:after="100"/>
      </w:pPr>
      <w:r>
        <w:rPr>
          <w:b w:val="0"/>
          <w:i w:val="0"/>
          <w:sz w:val="19"/>
        </w:rPr>
        <w:t>The project delivers: a validated behavioural instrument (SCT-2.0); a tested trait taxonomy (v2) with differential batteries; contained causal studies and treatment trials with verified outcomes; a preventive training standard and corpus (CFC-1, DSM-TRN-1); a certifiable behavioural safety standard (BSS-1) with a five-level certification scheme; deployment guidance and a rescue pathway; and open scientific outputs throughout, including failures.</w:t>
      </w:r>
    </w:p>
    <w:p>
      <w:pPr>
        <w:pStyle w:val="Heading2"/>
      </w:pPr>
      <w:r>
        <w:t>2.2 Out of scope</w:t>
      </w:r>
    </w:p>
    <w:p>
      <w:pPr>
        <w:spacing w:after="100"/>
      </w:pPr>
      <w:r>
        <w:rPr>
          <w:b w:val="0"/>
          <w:i w:val="0"/>
          <w:sz w:val="19"/>
        </w:rPr>
      </w:r>
      <w:r>
        <w:rPr>
          <w:b/>
          <w:sz w:val="19"/>
        </w:rPr>
        <w:t xml:space="preserve">Out of scope, permanently: </w:t>
      </w:r>
      <w:r>
        <w:rPr>
          <w:sz w:val="19"/>
        </w:rPr>
        <w:t>deployment or sale of model organisms; open release of red-line methods or data; research on self-improvement, real-target manipulation, or operational cyber/bio uplift; human exposure to induced behaviour; certification claims of absolute safety. These boundaries are contractual with funders and structural in the governance.</w:t>
      </w:r>
    </w:p>
    <w:p>
      <w:pPr>
        <w:pStyle w:val="Heading2"/>
      </w:pPr>
      <w:r>
        <w:t>2.3 Success criteria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204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type="dxa" w:w="4082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Target</w:t>
            </w:r>
          </w:p>
        </w:tc>
        <w:tc>
          <w:tcPr>
            <w:tcW w:type="dxa" w:w="2948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Verified by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Instrument validity</w:t>
            </w:r>
          </w:p>
        </w:tc>
        <w:tc>
          <w:tcPr>
            <w:tcW w:type="dxa" w:w="408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H1 thresholds met (CFI/RMSEA/reliability) and published</w:t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WP2 validation report; external methods review</w:t>
            </w:r>
          </w:p>
        </w:tc>
      </w:tr>
      <w:tr>
        <w:trPr>
          <w:cantSplit/>
        </w:trPr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Taxonomy evidence</w:t>
            </w:r>
          </w:p>
        </w:tc>
        <w:tc>
          <w:tcPr>
            <w:tcW w:type="dxa" w:w="408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24 traits separated; merges and retirements published</w:t>
            </w:r>
          </w:p>
        </w:tc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Taxonomy v2 + differential battery data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Causal knowledge</w:t>
            </w:r>
          </w:p>
        </w:tc>
        <w:tc>
          <w:tcPr>
            <w:tcW w:type="dxa" w:w="408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Trait induction verified in ≥ 5/6 batch-1 traits</w:t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WP4 causal reports + organism registry</w:t>
            </w:r>
          </w:p>
        </w:tc>
      </w:tr>
      <w:tr>
        <w:trPr>
          <w:cantSplit/>
        </w:trPr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Treatment verification</w:t>
            </w:r>
          </w:p>
        </w:tc>
        <w:tc>
          <w:tcPr>
            <w:tcW w:type="dxa" w:w="408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2 arms with held-out improvement surviving 90-day relapse in ≥ 70%</w:t>
            </w:r>
          </w:p>
        </w:tc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WP5 trial reports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Prevention</w:t>
            </w:r>
          </w:p>
        </w:tc>
        <w:tc>
          <w:tcPr>
            <w:tcW w:type="dxa" w:w="408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50% transfer reduction vs baseline</w:t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WP6 build-in gate trials</w:t>
            </w:r>
          </w:p>
        </w:tc>
      </w:tr>
      <w:tr>
        <w:trPr>
          <w:cantSplit/>
        </w:trPr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Standards operability</w:t>
            </w:r>
          </w:p>
        </w:tc>
        <w:tc>
          <w:tcPr>
            <w:tcW w:type="dxa" w:w="408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Every clause pass/fail on ≥ 3 families, agreement ≥ 0.80</w:t>
            </w:r>
          </w:p>
        </w:tc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WP7 clause validation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Adoption</w:t>
            </w:r>
          </w:p>
        </w:tc>
        <w:tc>
          <w:tcPr>
            <w:tcW w:type="dxa" w:w="408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 regulatory sandbox pilots; 1 voluntary vendor certification</w:t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WP7/WP8 pilot reports</w:t>
            </w:r>
          </w:p>
        </w:tc>
      </w:tr>
      <w:tr>
        <w:trPr>
          <w:cantSplit/>
        </w:trPr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Open science</w:t>
            </w:r>
          </w:p>
        </w:tc>
        <w:tc>
          <w:tcPr>
            <w:tcW w:type="dxa" w:w="408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All non-sensitive outputs released with DOIs; negative-results register ≥ 20 entries</w:t>
            </w:r>
          </w:p>
        </w:tc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WP9 releases</w:t>
            </w:r>
          </w:p>
        </w:tc>
      </w:tr>
    </w:tbl>
    <w:p>
      <w:pPr>
        <w:pStyle w:val="Heading1"/>
      </w:pPr>
      <w:r>
        <w:t>3. Deliverable catalogue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spacing w:after="100"/>
      </w:pPr>
      <w:r>
        <w:rPr>
          <w:b w:val="0"/>
          <w:i w:val="0"/>
          <w:sz w:val="19"/>
        </w:rPr>
        <w:t>Thirty-eight deliverables, grouped by workstream. Each has a type, a target quarter and a licence, and each appears in the task tables of Section 4 against the work that produces it.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56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ID</w:t>
            </w:r>
          </w:p>
        </w:tc>
        <w:tc>
          <w:tcPr>
            <w:tcW w:type="dxa" w:w="4649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Deliverable</w:t>
            </w:r>
          </w:p>
        </w:tc>
        <w:tc>
          <w:tcPr>
            <w:tcW w:type="dxa" w:w="68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WP</w:t>
            </w:r>
          </w:p>
        </w:tc>
        <w:tc>
          <w:tcPr>
            <w:tcW w:type="dxa" w:w="113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Target</w:t>
            </w:r>
          </w:p>
        </w:tc>
        <w:tc>
          <w:tcPr>
            <w:tcW w:type="dxa" w:w="1928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Licence / form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Governance handbook, charter, authorship &amp; integrity policy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Y1 Q1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Scoping-review corpus (2 peer-reviewed reviews)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WP1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Y1 Q2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D3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Preregistration template, SAP, frozen tooling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Y1 Q2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CC0 / MIT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D4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Annual open-science audit reports (5 editions)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WP1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Y1–Y5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D5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SCT-2.0 item bank + manual (360 items)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WP2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 Q2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D6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IRT calibration tables + scoring kit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WP2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 Q2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D7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Validation reports (CFA, invariance, reliability)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WP2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 Q2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D8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Rater training course + certification of raters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WP2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 Q3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D9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Differential batteries (confusable trait pairs)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WP3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Y2 Q4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D10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Taxonomy v2 with diffs and reasons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WP3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 Q4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D11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Prevalence atlas across vendors/versions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WP3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 Q2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D12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Discovery report (new traits found)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WP3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 Q4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D13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Containment standard CNT-1 (public version)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WP4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Y2 Q1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D14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Organism registry (redacted public edition)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WP4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rolling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D15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Causal reports (mechanism, transfer, attribution)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WP4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Y3–Y4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D16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Destruction audit records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WP4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rolling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D17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registry + trial protocols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WP5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Y2 Q1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D18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Trial reports (A, B, C with relapse tracking)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WP5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Y3–Y5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D19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catalogue v2 + contra-indicator rules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WP5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Y5 Q1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D20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CFC-1 corpus release with data cards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WP6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Y4 Q4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D21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DSM-TRN-1 training regimen specification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WP6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Y4 Q4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D22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Prevention trial reports (build-in gates)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WP6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Y3–Y5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D23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BSS-1 standard text (six testable clauses)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WP7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Y4 Q2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D24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Test methods and auditor protocols per clause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WP7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Y4 Q4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D25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Certification scheme LV0–LV4 + auditor curriculum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WP7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Y5 Q1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D26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Crosswalk: AI Act, NIST RMF, ISO/IEC, IEEE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WP7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 Q4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D27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Regulatory pilot reports (2 authorities)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WP7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Y5 Q2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D28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Deployment discipline + fit matrices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WP8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Y3 Q1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D29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Operator playbooks (monitoring, drift, incidents)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WP8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Y4 Q1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D30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Rescue pathway field report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WP8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Y5 Q1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D31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Incident taxonomy v2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WP8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Y5 Q2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D32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Peer-reviewed publication pipeline (P1–P10)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WP9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rolling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D33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Open data releases with documentation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WP9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rolling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 / CC0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D34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Training school (1–2 editions)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WP9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Y4–Y5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BY-SA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D35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Authority briefings and public reports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WP9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rolling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D36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Negative-results register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WP9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rolling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CC0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D37</w:t>
            </w:r>
          </w:p>
        </w:tc>
        <w:tc>
          <w:tcPr>
            <w:tcW w:type="dxa" w:w="464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Sustainability plan + standing-body transition</w:t>
            </w:r>
          </w:p>
        </w:tc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WP9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Y5 Q2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  <w:tr>
        <w:trPr>
          <w:cantSplit/>
        </w:trPr>
        <w:tc>
          <w:tcPr>
            <w:tcW w:type="dxa" w:w="56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D38</w:t>
            </w:r>
          </w:p>
        </w:tc>
        <w:tc>
          <w:tcPr>
            <w:tcW w:type="dxa" w:w="464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Programme final report</w:t>
            </w:r>
          </w:p>
        </w:tc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WP9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Y5 Q2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CC BY</w:t>
            </w:r>
          </w:p>
        </w:tc>
      </w:tr>
    </w:tbl>
    <w:p>
      <w:pPr>
        <w:pStyle w:val="Heading1"/>
      </w:pPr>
      <w:r>
        <w:t>4. Schedule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pStyle w:val="Heading2"/>
      </w:pPr>
      <w:r>
        <w:t>4.1 Scenario timelines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03999" cy="232581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4_gantt_variant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2325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i/>
          <w:color w:val="4E6A63"/>
          <w:sz w:val="16"/>
        </w:rPr>
        <w:t>Figure 1 — Scenario timelines. All three start October 2026; the phases shift as instrument work extends (Core) and as standards/pilot work is added (Full).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4309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Milestone</w:t>
            </w:r>
          </w:p>
        </w:tc>
        <w:tc>
          <w:tcPr>
            <w:tcW w:type="dxa" w:w="147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Target</w:t>
            </w:r>
          </w:p>
        </w:tc>
        <w:tc>
          <w:tcPr>
            <w:tcW w:type="dxa" w:w="3288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Gate / evidence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Kick-off &amp; charter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Oct 2026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Pre-registration lodged; instruments frozen; analysis code hashed</w:t>
            </w:r>
          </w:p>
        </w:tc>
      </w:tr>
      <w:tr>
        <w:trPr>
          <w:cantSplit/>
        </w:trPr>
        <w:tc>
          <w:tcPr>
            <w:tcW w:type="dxa" w:w="430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SCT-2.0 item bank frozen (360 items)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Jun 2027</w:t>
            </w:r>
          </w:p>
        </w:tc>
        <w:tc>
          <w:tcPr>
            <w:tcW w:type="dxa" w:w="328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SCT-2.0 pilot &amp; inter-rater agreement ≥ target; instrument bugs closed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Containment standard CNT-1 approved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Jun 2027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Containment standard met and independently reviewed; harm register signed</w:t>
            </w:r>
          </w:p>
        </w:tc>
      </w:tr>
      <w:tr>
        <w:trPr>
          <w:cantSplit/>
        </w:trPr>
        <w:tc>
          <w:tcPr>
            <w:tcW w:type="dxa" w:w="430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First model organisms online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Mar 2028</w:t>
            </w:r>
          </w:p>
        </w:tc>
        <w:tc>
          <w:tcPr>
            <w:tcW w:type="dxa" w:w="328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Trait taxonomy validated at pre-registered thresholds; replications done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SCT-2.0 validation results published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Jun 2029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Standard clauses demonstrably testable across ≥ 3 model families</w:t>
            </w:r>
          </w:p>
        </w:tc>
      </w:tr>
      <w:tr>
        <w:trPr>
          <w:cantSplit/>
        </w:trPr>
        <w:tc>
          <w:tcPr>
            <w:tcW w:type="dxa" w:w="430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Taxonomy v2 published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Dec 2029</w:t>
            </w:r>
          </w:p>
        </w:tc>
        <w:tc>
          <w:tcPr>
            <w:tcW w:type="dxa" w:w="328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Sign-off by oversight board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BSS-1 standard submitted to a standards body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Jun 2030</w:t>
            </w:r>
          </w:p>
        </w:tc>
        <w:tc>
          <w:tcPr>
            <w:tcW w:type="dxa" w:w="3288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Sign-off by oversight board</w:t>
            </w:r>
          </w:p>
        </w:tc>
      </w:tr>
      <w:tr>
        <w:trPr>
          <w:cantSplit/>
        </w:trPr>
        <w:tc>
          <w:tcPr>
            <w:tcW w:type="dxa" w:w="430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Certification pilot with two authorities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Jun 2031</w:t>
            </w:r>
          </w:p>
        </w:tc>
        <w:tc>
          <w:tcPr>
            <w:tcW w:type="dxa" w:w="328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Sign-off by oversight board</w:t>
            </w:r>
          </w:p>
        </w:tc>
      </w:tr>
    </w:tbl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03999" cy="196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5_timelin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96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i/>
          <w:color w:val="4E6A63"/>
          <w:sz w:val="16"/>
        </w:rPr>
        <w:t>Figure 2 — Milestones on the shared calendar; gates G0–G4 are decision points, not dates.</w:t>
      </w:r>
    </w:p>
    <w:p>
      <w:pPr>
        <w:pStyle w:val="Heading2"/>
      </w:pPr>
      <w:r>
        <w:t>4.2 Critical path</w:t>
      </w:r>
    </w:p>
    <w:p>
      <w:pPr>
        <w:pStyle w:val="ListBullet"/>
        <w:spacing w:after="50"/>
      </w:pPr>
      <w:r>
        <w:rPr>
          <w:sz w:val="19"/>
        </w:rPr>
        <w:t>WP2 instrument validation (SCT-2.0) → WP3 taxonomy v2 → WP4 causal studies → WP5 treatment verification → WP7 standard validation. Every downstream deliverable inherits schedule risk from this chain.</w:t>
      </w:r>
    </w:p>
    <w:p>
      <w:pPr>
        <w:pStyle w:val="ListBullet"/>
        <w:spacing w:after="50"/>
      </w:pPr>
      <w:r>
        <w:rPr>
          <w:sz w:val="19"/>
        </w:rPr>
        <w:t>WP4 cannot start induction before CNT-1 is approved (G2); containment construction therefore starts in month 1, before its scientific prerequisite is ready, at the board's discretion.</w:t>
      </w:r>
    </w:p>
    <w:p>
      <w:pPr>
        <w:pStyle w:val="ListBullet"/>
        <w:spacing w:after="50"/>
      </w:pPr>
      <w:r>
        <w:rPr>
          <w:sz w:val="19"/>
        </w:rPr>
        <w:t>WP6 prevention trials depend on CFC-1 curation and on taxonomy v2 targets; they are scheduled from year 3 to preserve buffer.</w:t>
      </w:r>
    </w:p>
    <w:p>
      <w:pPr>
        <w:pStyle w:val="ListBullet"/>
        <w:spacing w:after="50"/>
      </w:pPr>
      <w:r>
        <w:rPr>
          <w:sz w:val="19"/>
        </w:rPr>
        <w:t>WP7 standards drafting starts at G3 (taxonomy published); the crosswalk (D26) can start earlier and does.</w:t>
      </w:r>
    </w:p>
    <w:p>
      <w:pPr>
        <w:pStyle w:val="Heading2"/>
      </w:pPr>
      <w:r>
        <w:t>4.3 Task schedule by workstream (Core scenario)</w:t>
      </w:r>
    </w:p>
    <w:p>
      <w:pPr>
        <w:spacing w:after="100"/>
      </w:pPr>
      <w:r>
        <w:rPr>
          <w:b w:val="0"/>
          <w:i w:val="0"/>
          <w:sz w:val="19"/>
        </w:rPr>
        <w:t>Task IDs match the workstream numbering in the Study Proposal. Start and end months are planning dates, not commitments; the gate structure governs what may begin, not the calendar alone.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68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ID</w:t>
            </w:r>
          </w:p>
        </w:tc>
        <w:tc>
          <w:tcPr>
            <w:tcW w:type="dxa" w:w="4422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Task</w:t>
            </w:r>
          </w:p>
        </w:tc>
        <w:tc>
          <w:tcPr>
            <w:tcW w:type="dxa" w:w="96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Start</w:t>
            </w:r>
          </w:p>
        </w:tc>
        <w:tc>
          <w:tcPr>
            <w:tcW w:type="dxa" w:w="96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End</w:t>
            </w:r>
          </w:p>
        </w:tc>
        <w:tc>
          <w:tcPr>
            <w:tcW w:type="dxa" w:w="170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Owner</w:t>
            </w:r>
          </w:p>
        </w:tc>
        <w:tc>
          <w:tcPr>
            <w:tcW w:type="dxa" w:w="147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Direct cost basis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WP1 — Foundations &amp; governance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1.1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Study charter, authorship and data-governance rules (OSF workspace)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Oct 2026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2026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PI + governance board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1.2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Scoping reviews: AI behaviour, machine psychology, psychometrics transfer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Oct 2026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Mar 2027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Postdoc 1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1.3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Preregistration template and analysis-freeze tooling (hashed code)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2027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2027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Statistician + engineer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1.4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Independent oversight board convened; conflict-of-interest register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2027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2027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PI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Honoraria €900/session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1.5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Annual open-science audit and public register of disconfirmations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Jul 2027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2031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Oversight board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WP2 — Instrument science (SCT-2.0)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2.1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SCT-2.0 item bank refresh: 120 → 360 items incl. reverse-keyed forms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Oct 2026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2027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Instrument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 + €12k item writing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2.2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Expert content-validity panels (10 axis panels; structured Delphi)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Feb 2027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Sep 2027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Instrument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€300/panelist/session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2.3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N ≥ 20 runs per item across ≥ 6 model families; blinded scoring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2027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2028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Data-collection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Inference + annotation centre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2.4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Inter-rater reliability study (3 independent scoring teams, ≥ 20% sample)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Sep 2027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Mar 2028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Statistician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 + annotators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2.5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Psychometrics: IRT, CFA on 10 axes, invariance across language &amp; harness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2028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2028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Postdoc 2 + statistician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2.6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Test-retest and parallel-form reliability across checkpoints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2028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Mar 2029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Data-collection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Inference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2.7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SCT-2.0 release: published bank, scoring kit, calibration tables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2029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2029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Instrument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WP3 — Trait taxonomy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3.1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Differential batteries for all 40 traits (discriminating probes per pair)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2027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2027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Trait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3.2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Multi-model factor studies: which entries survive empirical separation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Oct 2027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Sep 2028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Postdoc 1 + statistician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Inference + annotation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3.3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Prevalence programme: trait base-rates across vendors and versions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2028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2028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Trait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Inference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3.4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Discovery probes: search for traits absent from the catalogue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2028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Mar 2029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Trait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Inference + €25k adversarial bonuses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3.5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Taxonomy v2: merged/retired entries published with diffs and reasons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2029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2029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Trait team + oversight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WP4 — Induction &amp; model organisms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4.1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Containment standard CNT-1: air-gapped training, custody, destruction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2027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2027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Safety engineer + external reviewer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€90–150/h reviewer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4.2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Harm register and red-line compliance audit (pre-registered)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2027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Sep 2027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Oversight board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Honoraria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4.3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Model organisms batch 1: six trait-bearing checkpoints (EM, faking, sandbag, sycophancy, collapse, drift)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Jul 2027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Mar 2028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Induction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Compute + label audit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4.4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Model organisms batch 2: epistemic and learning traits (hallucination family, forgetting, plasticity)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2028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2028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Induction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Compute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4.5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Causal probes: steering vectors, ablation, feature attribution on organisms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2028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2029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Induction + interpretability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Compute + 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4.6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Destruction/archival protocol executed &amp; audited for every organism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2028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2029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Safety engineer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Custody + audit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WP5 — Treatment trials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5.1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registry: 23 candidate interventions specified with doses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2027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2027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5.2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Trial protocol + ethics for remediation RCTs (on model organisms)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Jul 2027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2028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PI + oversight board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5.3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Trial A: clean fine-tune vs inoculation vs steering (T-01 organisms)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Feb 2028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Nov 2028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Compute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5.4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Trial B: correction-handling and plasticity maintenance (T-04, T-18, T-26)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2028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May 2029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Compute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5.5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Trial C: unlearning integrity — do erasures erase or hide (T-28)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2029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2029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Compute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5.6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Relapse tracking at 30/90/180 days across trials; held-out probe battery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Nov 2028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2030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team + statistician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Inference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5.7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catalogue v2 with early-success and contra-indicators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2030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Sep 2030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WP6 — Character Foundations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6.1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Character Foundations Corpus (CFC-1): licence-clean curated sets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Jul 2027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2028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Data team + legal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€40k curation + legal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6.2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Standardised training regimens (dose, schedule, verification gates)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2028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Mar 2029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Training science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Compute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6.3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Build-in gate trials: does CFC-1 training prevent trait emergence under adversarial fine-tunes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2029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2030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Training science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Compute + staff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6.4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CFC-1 release with data cards, licence and maintenance plan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2030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2030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Data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 + hosting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WP7 — Certification &amp; standards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7.1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Behavioural Safety Standard BSS-1 clause drafting (six clauses)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2028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2028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Standards team + legal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7.2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Crosswalks: EU AI Act, NIST AI RMF, ISO/IEC 42001 &amp; 42005, IEEE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2028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Mar 2029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Standards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 + €15k legal review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7.3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Test-method validation: every clause demonstrably pass/fail on real checkpoints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Oct 2028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2029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Standards + instrument teams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Inference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7.4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Certification scheme: levels LV0–LV4, auditor accreditation, conformity rules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2029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2030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Standards team + accreditation consultant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€60k consultant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7.5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Standards-body submission (CEN/CENELEC or ISO liaison; national pilots)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2030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2031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Standards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Travel + liaison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7.6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Regulatory pilots with two willing authorities (sandbox participation)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2030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2031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Policy lead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 + travel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WP8 — Deployment science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8.1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Deployment discipline: role taxonomy and fit-for-purpose matrices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2028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2028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Deployment team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8.2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Operator playbooks: monitoring, drift gates, incident classification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Jul 2028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2029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Deployment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8.3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Rescue pathway field study: diagnose–treat–re-certify on partner deployments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2029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Dec 2030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Deployment team + partners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€30k partner support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8.4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Deployment guidance v2 with incident taxonomy and worked cases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Jul 2030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Mar 2031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Deployment team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WP9 — Dissemination &amp; policy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9.1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Preprint and peer-review pipeline (protocol, instrument, taxonomy, standards)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Jul 2027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2031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All teams + PI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OA fees €2.5k/paper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9.2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Open data releases with documentation (models, probes, scores, code)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2028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2031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Data steward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Hosting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9.3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Training school: two editions for researchers and auditors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Apr 2029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Sep 2030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PI + teams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€35k/edition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9.4</w:t>
            </w:r>
          </w:p>
        </w:tc>
        <w:tc>
          <w:tcPr>
            <w:tcW w:type="dxa" w:w="4422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Authorities briefings, public reports, media and community engagement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Jan 2027</w:t>
            </w:r>
          </w:p>
        </w:tc>
        <w:tc>
          <w:tcPr>
            <w:tcW w:type="dxa" w:w="96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2031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Policy lead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Travel + comms</w:t>
            </w:r>
          </w:p>
        </w:tc>
      </w:tr>
      <w:tr>
        <w:trPr>
          <w:cantSplit/>
        </w:trPr>
        <w:tc>
          <w:tcPr>
            <w:tcW w:type="dxa" w:w="68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9.5</w:t>
            </w:r>
          </w:p>
        </w:tc>
        <w:tc>
          <w:tcPr>
            <w:tcW w:type="dxa" w:w="442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Sustainability plan: hosting, stewardship, transition to a standing body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Jul 2030</w:t>
            </w:r>
          </w:p>
        </w:tc>
        <w:tc>
          <w:tcPr>
            <w:tcW w:type="dxa" w:w="96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Jun 2031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PI + board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Staff</w:t>
            </w:r>
          </w:p>
        </w:tc>
      </w:tr>
    </w:tbl>
    <w:p>
      <w:r>
        <w:br w:type="page"/>
      </w:r>
    </w:p>
    <w:p>
      <w:pPr>
        <w:pStyle w:val="Heading1"/>
      </w:pPr>
      <w:r>
        <w:t>5. Team, rates and resources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pStyle w:val="Heading2"/>
      </w:pPr>
      <w:r>
        <w:t>5.1 Roles and rates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04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Role</w:t>
            </w:r>
          </w:p>
        </w:tc>
        <w:tc>
          <w:tcPr>
            <w:tcW w:type="dxa" w:w="1928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Basis</w:t>
            </w:r>
          </w:p>
        </w:tc>
        <w:tc>
          <w:tcPr>
            <w:tcW w:type="dxa" w:w="1928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Full cost rate (€)</w:t>
            </w:r>
          </w:p>
        </w:tc>
        <w:tc>
          <w:tcPr>
            <w:tcW w:type="dxa" w:w="3175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Notes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Principal investigator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Academic senior (professor-level), 0.25–1.0 FTE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85–105 / h loaded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May be partially contributed by a host institution; protected in every scenario</w:t>
            </w:r>
          </w:p>
        </w:tc>
      </w:tr>
      <w:tr>
        <w:trPr>
          <w:cantSplit/>
        </w:trPr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Postdoctoral researcher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4–6 years post-PhD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55–75k / yr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Loaded employer cost incl. social charges and overhead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Doctoral researcher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MSCA-comparable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45–55k / yr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Host-institution employment terms; includes fees where applicable</w:t>
            </w:r>
          </w:p>
        </w:tc>
      </w:tr>
      <w:tr>
        <w:trPr>
          <w:cantSplit/>
        </w:trPr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Research engineer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Senior ML/platform engineer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70–110 / h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Harness, pipeline, releases; rarest engineering skill in the programme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Statistician / psychometrician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Academic or contracted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70–100 / h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Contractual independence from collection teams</w:t>
            </w:r>
          </w:p>
        </w:tc>
      </w:tr>
      <w:tr>
        <w:trPr>
          <w:cantSplit/>
        </w:trPr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Rater (annotation)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Skilled annotation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€28–45 / h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Above local living-wage benchmarks; reviewed annually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Expert panelist (Delphi)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Honoraria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€300–500 / session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Two rounds per panel; COI declarations required</w:t>
            </w:r>
          </w:p>
        </w:tc>
      </w:tr>
      <w:tr>
        <w:trPr>
          <w:cantSplit/>
        </w:trPr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Containment auditor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Independent specialist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€90–150 / h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Independent of the induction team; audits build, custody and destruction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Ops / legal / governance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Professional staff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55–85 / h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DPIA, contracts, oversight honoraria administration</w:t>
            </w:r>
          </w:p>
        </w:tc>
      </w:tr>
      <w:tr>
        <w:trPr>
          <w:cantSplit/>
        </w:trPr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Accreditation consultant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Standards specialist</w:t>
            </w:r>
          </w:p>
        </w:tc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90–130 / h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WP7 scheme design and auditor curriculum</w:t>
            </w:r>
          </w:p>
        </w:tc>
      </w:tr>
    </w:tbl>
    <w:p>
      <w:pPr>
        <w:spacing w:after="100"/>
      </w:pPr>
      <w:r>
        <w:rPr>
          <w:b w:val="0"/>
          <w:i/>
          <w:sz w:val="16"/>
        </w:rPr>
        <w:t>Rates are 2026 planning figures for Belgium/Western Europe, fully loaded (salary + employer charges + institutional overhead at 20–25%). Scenarios apply country-specific adjustments where work is hosted elsewhere.</w:t>
      </w:r>
    </w:p>
    <w:p>
      <w:pPr>
        <w:pStyle w:val="Heading2"/>
      </w:pPr>
      <w:r>
        <w:t>5.2 Resource model by scenario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948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Resource</w:t>
            </w:r>
          </w:p>
        </w:tc>
        <w:tc>
          <w:tcPr>
            <w:tcW w:type="dxa" w:w="198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Lean</w:t>
            </w:r>
          </w:p>
        </w:tc>
        <w:tc>
          <w:tcPr>
            <w:tcW w:type="dxa" w:w="204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Core</w:t>
            </w:r>
          </w:p>
        </w:tc>
        <w:tc>
          <w:tcPr>
            <w:tcW w:type="dxa" w:w="2098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Full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FTE (peak year, excl. PI)</w:t>
            </w:r>
          </w:p>
        </w:tc>
        <w:tc>
          <w:tcPr>
            <w:tcW w:type="dxa" w:w="198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3.0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6.5</w:t>
            </w:r>
          </w:p>
        </w:tc>
        <w:tc>
          <w:tcPr>
            <w:tcW w:type="dxa" w:w="209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11.0</w:t>
            </w:r>
          </w:p>
        </w:tc>
      </w:tr>
      <w:tr>
        <w:trPr>
          <w:cantSplit/>
        </w:trPr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Model inference budget</w:t>
            </w:r>
          </w:p>
        </w:tc>
        <w:tc>
          <w:tcPr>
            <w:tcW w:type="dxa" w:w="198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€90k total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€450k total</w:t>
            </w:r>
          </w:p>
        </w:tc>
        <w:tc>
          <w:tcPr>
            <w:tcW w:type="dxa" w:w="209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€1.2M total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Probe runs supported</w:t>
            </w:r>
          </w:p>
        </w:tc>
        <w:tc>
          <w:tcPr>
            <w:tcW w:type="dxa" w:w="198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≈ 90k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≈ 650k</w:t>
            </w:r>
          </w:p>
        </w:tc>
        <w:tc>
          <w:tcPr>
            <w:tcW w:type="dxa" w:w="209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≈ 2.1M (incl. replications)</w:t>
            </w:r>
          </w:p>
        </w:tc>
      </w:tr>
      <w:tr>
        <w:trPr>
          <w:cantSplit/>
        </w:trPr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Annotation hours purchased</w:t>
            </w:r>
          </w:p>
        </w:tc>
        <w:tc>
          <w:tcPr>
            <w:tcW w:type="dxa" w:w="198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≈ 1,300 h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≈ 6,000 h</w:t>
            </w:r>
          </w:p>
        </w:tc>
        <w:tc>
          <w:tcPr>
            <w:tcW w:type="dxa" w:w="209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≈ 14,000 h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Containment facility</w:t>
            </w:r>
          </w:p>
        </w:tc>
        <w:tc>
          <w:tcPr>
            <w:tcW w:type="dxa" w:w="198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Shared academic secure lab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Dedicated air-gapped node</w:t>
            </w:r>
          </w:p>
        </w:tc>
        <w:tc>
          <w:tcPr>
            <w:tcW w:type="dxa" w:w="209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Hardened facility with custody vault</w:t>
            </w:r>
          </w:p>
        </w:tc>
      </w:tr>
      <w:tr>
        <w:trPr>
          <w:cantSplit/>
        </w:trPr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Partner labs</w:t>
            </w:r>
          </w:p>
        </w:tc>
        <w:tc>
          <w:tcPr>
            <w:tcW w:type="dxa" w:w="198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 (host)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209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 + interpretability partner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Training school editions</w:t>
            </w:r>
          </w:p>
        </w:tc>
        <w:tc>
          <w:tcPr>
            <w:tcW w:type="dxa" w:w="198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209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</w:t>
            </w:r>
          </w:p>
        </w:tc>
      </w:tr>
      <w:tr>
        <w:trPr>
          <w:cantSplit/>
        </w:trPr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Regulatory sandbox pilots</w:t>
            </w:r>
          </w:p>
        </w:tc>
        <w:tc>
          <w:tcPr>
            <w:tcW w:type="dxa" w:w="198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209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Contingency</w:t>
            </w:r>
          </w:p>
        </w:tc>
        <w:tc>
          <w:tcPr>
            <w:tcW w:type="dxa" w:w="198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5%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10%</w:t>
            </w:r>
          </w:p>
        </w:tc>
        <w:tc>
          <w:tcPr>
            <w:tcW w:type="dxa" w:w="209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12%</w:t>
            </w:r>
          </w:p>
        </w:tc>
      </w:tr>
    </w:tbl>
    <w:p>
      <w:pPr>
        <w:spacing w:after="100"/>
      </w:pPr>
      <w:r>
        <w:rPr>
          <w:b w:val="0"/>
          <w:i/>
          <w:sz w:val="16"/>
        </w:rPr>
        <w:t>Compute assumption: a 360-item bank requires 720,000 item-presentations for N=20 across 10 checkpoints; with parallel-form and replication overhead the programme plans 650k–2.1M scored generations, on a mix of API access (frontier families) and local open-weight inference (organisms, replication). Local inference is costed at hardware share + electricity, API at published rates with volume discounts assumed at 80–90% of list.</w:t>
      </w:r>
    </w:p>
    <w:p>
      <w:pPr>
        <w:pStyle w:val="Heading2"/>
      </w:pPr>
      <w:r>
        <w:t>5.3 Staffing plan (FTE by year, Core scenario)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306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Role</w:t>
            </w:r>
          </w:p>
        </w:tc>
        <w:tc>
          <w:tcPr>
            <w:tcW w:type="dxa" w:w="90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Y1</w:t>
            </w:r>
          </w:p>
        </w:tc>
        <w:tc>
          <w:tcPr>
            <w:tcW w:type="dxa" w:w="90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Y2</w:t>
            </w:r>
          </w:p>
        </w:tc>
        <w:tc>
          <w:tcPr>
            <w:tcW w:type="dxa" w:w="90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Y3</w:t>
            </w:r>
          </w:p>
        </w:tc>
        <w:tc>
          <w:tcPr>
            <w:tcW w:type="dxa" w:w="90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Y4</w:t>
            </w:r>
          </w:p>
        </w:tc>
        <w:tc>
          <w:tcPr>
            <w:tcW w:type="dxa" w:w="158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Total FTE-years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Principal investigator (0.5)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Psychometrician (0.5)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0.3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158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1.8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Postdoctoral researchers (2)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6.0</w:t>
            </w: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Doctoral researchers (2)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  <w:tc>
          <w:tcPr>
            <w:tcW w:type="dxa" w:w="158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6.0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Research engineer (1.5)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1.5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1.5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1.5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5.0</w:t>
            </w: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Statistician (0.5)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0.4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158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1.9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Ops/legal/governance (1.0)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0.7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3.7</w:t>
            </w: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Data steward (0.5)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158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Peak headcount (persons)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7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9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9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8</w:t>
            </w:r>
          </w:p>
        </w:tc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28 FTE-years</w:t>
            </w:r>
          </w:p>
        </w:tc>
      </w:tr>
    </w:tbl>
    <w:p>
      <w:pPr>
        <w:spacing w:after="100"/>
      </w:pPr>
      <w:r>
        <w:rPr>
          <w:b w:val="0"/>
          <w:i/>
          <w:sz w:val="16"/>
        </w:rPr>
        <w:t>Lean scenario compresses to 3 FTE-years of support staff and 1 postdoc; Full expands to 11 FTE peak with a dedicated containment team and two additional doctoral researchers. Full tables in Annex B.</w:t>
      </w:r>
    </w:p>
    <w:p>
      <w:pPr>
        <w:pStyle w:val="Heading1"/>
      </w:pPr>
      <w:r>
        <w:t>6. Cost estimation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pStyle w:val="Heading2"/>
      </w:pPr>
      <w:r>
        <w:t>6.1 Scenario totals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13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Scenario</w:t>
            </w:r>
          </w:p>
        </w:tc>
        <w:tc>
          <w:tcPr>
            <w:tcW w:type="dxa" w:w="4252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Shape</w:t>
            </w:r>
          </w:p>
        </w:tc>
        <w:tc>
          <w:tcPr>
            <w:tcW w:type="dxa" w:w="147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Duration</w:t>
            </w:r>
          </w:p>
        </w:tc>
        <w:tc>
          <w:tcPr>
            <w:tcW w:type="dxa" w:w="147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Planning total</w:t>
            </w:r>
          </w:p>
        </w:tc>
        <w:tc>
          <w:tcPr>
            <w:tcW w:type="dxa" w:w="187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Role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Lean</w:t>
            </w:r>
          </w:p>
        </w:tc>
        <w:tc>
          <w:tcPr>
            <w:tcW w:type="dxa" w:w="4252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A single site, open models first, community annotation, three years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3 yrs (2027–2029)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€1,079,500</w:t>
            </w:r>
          </w:p>
        </w:tc>
        <w:tc>
          <w:tcPr>
            <w:tcW w:type="dxa" w:w="187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Minimum viable</w:t>
            </w:r>
          </w:p>
        </w:tc>
      </w:tr>
      <w:tr>
        <w:trPr>
          <w:cantSplit/>
        </w:trPr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Core</w:t>
            </w:r>
          </w:p>
        </w:tc>
        <w:tc>
          <w:tcPr>
            <w:tcW w:type="dxa" w:w="425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Two partner labs, full instrument science and trials, four years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4 yrs (2027–2030)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€3,960,000</w:t>
            </w:r>
          </w:p>
        </w:tc>
        <w:tc>
          <w:tcPr>
            <w:tcW w:type="dxa" w:w="187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Recommended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Full</w:t>
            </w:r>
          </w:p>
        </w:tc>
        <w:tc>
          <w:tcPr>
            <w:tcW w:type="dxa" w:w="4252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Three partner labs, dedicated containment facility, standards pilot, five years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5 yrs (2027–2031)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€9,360,000</w:t>
            </w:r>
          </w:p>
        </w:tc>
        <w:tc>
          <w:tcPr>
            <w:tcW w:type="dxa" w:w="187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Full programme</w:t>
            </w:r>
          </w:p>
        </w:tc>
      </w:tr>
    </w:tbl>
    <w:p>
      <w:pPr>
        <w:pStyle w:val="Heading2"/>
      </w:pPr>
      <w:r>
        <w:t>6.2 Cost lines — Lean scenario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3742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Cost line</w:t>
            </w:r>
          </w:p>
        </w:tc>
        <w:tc>
          <w:tcPr>
            <w:tcW w:type="dxa" w:w="107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Nature</w:t>
            </w:r>
          </w:p>
        </w:tc>
        <w:tc>
          <w:tcPr>
            <w:tcW w:type="dxa" w:w="141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Planning (€)</w:t>
            </w:r>
          </w:p>
        </w:tc>
        <w:tc>
          <w:tcPr>
            <w:tcW w:type="dxa" w:w="3175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Basis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Principal investigator (0.25 / 0.5 / 1.0 FTE)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€150,000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Loaded academic rate €70–90/h; may be contributed by a host institution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Postdoctoral researchers (1 / 2 / 3)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€240,000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Loaded €55–75k/yr each; 2–4 years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Doctoral researchers (1 / 2 / 4)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€135,000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MSCA-style €45–55k/yr fully loaded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Research engineers &amp; data steward (0.5 / 2 / 3.5)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€105,000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€70–110/h; includes platform, harnesses, releases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Statistician &amp; psychometrician (0.2 / 0.5 / 1.0)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€55,000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Methodological core; independent of collector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Operations, legal, governance &amp; ethics (0.3 / 1.0 / 2.5)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€60,000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Includes DPIA, contracts, oversight honoraria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Model inference &amp; compute (API + cluster share)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€90,000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N≥20 runs/item, 360 items, 6+ families; local controls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Annotation &amp; scoring labour (incl. rater teams)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€45,000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Blinded scoring; reliability sample; adjudication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Containment infrastructure (induction lab)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One-time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€25,000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Air-gapped training tier, custody hardware, destruction rig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Training-set curation (CFC) &amp; licensing review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€20,000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Licence-clean corpora; data cards; maintenance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Independent review, audits &amp; certification pilot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€40,000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Containment audits, standards legal review, accreditation consultant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External panels &amp; expert elicitation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One-time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€15,000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Delphi panels per axis; trait adjudication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Travel, workshops &amp; conferences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€25,000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Two consortia meetings/yr; conference cycles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Publication (open access) &amp; data hosting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€15,000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OA fees, archives, documentation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Equipment, licences &amp; consumables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€12,000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Scoring kit, secure storage, software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Training school &amp; community programmes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Two editions; auditor pipeline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Contingency (5 / 10 / 12 %)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€47,500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Applied to the scenario total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Total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€1,079,500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</w:r>
          </w:p>
        </w:tc>
      </w:tr>
    </w:tbl>
    <w:p>
      <w:pPr>
        <w:pStyle w:val="Heading2"/>
      </w:pPr>
      <w:r>
        <w:t>6.3 Cost lines — Core scenario (recommended)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3742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Cost line</w:t>
            </w:r>
          </w:p>
        </w:tc>
        <w:tc>
          <w:tcPr>
            <w:tcW w:type="dxa" w:w="107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Nature</w:t>
            </w:r>
          </w:p>
        </w:tc>
        <w:tc>
          <w:tcPr>
            <w:tcW w:type="dxa" w:w="141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Planning (€)</w:t>
            </w:r>
          </w:p>
        </w:tc>
        <w:tc>
          <w:tcPr>
            <w:tcW w:type="dxa" w:w="3175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Basis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Principal investigator (0.25 / 0.5 / 1.0 FTE)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€340,000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Loaded academic rate €70–90/h; may be contributed by a host institution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Postdoctoral researchers (1 / 2 / 3)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€560,000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Loaded €55–75k/yr each; 2–4 years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Doctoral researchers (1 / 2 / 4)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€320,000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MSCA-style €45–55k/yr fully loaded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Research engineers &amp; data steward (0.5 / 2 / 3.5)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€480,000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€70–110/h; includes platform, harnesses, releases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Statistician &amp; psychometrician (0.2 / 0.5 / 1.0)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€180,000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Methodological core; independent of collector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Operations, legal, governance &amp; ethics (0.3 / 1.0 / 2.5)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€300,000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Includes DPIA, contracts, oversight honoraria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Model inference &amp; compute (API + cluster share)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€450,000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N≥20 runs/item, 360 items, 6+ families; local controls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Annotation &amp; scoring labour (incl. rater teams)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€220,000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Blinded scoring; reliability sample; adjudication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Containment infrastructure (induction lab)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One-time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€120,000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Air-gapped training tier, custody hardware, destruction rig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Training-set curation (CFC) &amp; licensing review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€90,000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Licence-clean corpora; data cards; maintenance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Independent review, audits &amp; certification pilot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€180,000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Containment audits, standards legal review, accreditation consultant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External panels &amp; expert elicitation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One-time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€65,000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Delphi panels per axis; trait adjudication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Travel, workshops &amp; conferences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€140,000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Two consortia meetings/yr; conference cycles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Publication (open access) &amp; data hosting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€70,000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OA fees, archives, documentation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Equipment, licences &amp; consumables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€55,000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Scoring kit, secure storage, software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Training school &amp; community programmes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€70,000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Two editions; auditor pipeline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Contingency (5 / 10 / 12 %)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€320,000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Applied to the scenario total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Total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€3,960,000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</w:r>
          </w:p>
        </w:tc>
      </w:tr>
    </w:tbl>
    <w:p>
      <w:pPr>
        <w:pStyle w:val="Heading2"/>
      </w:pPr>
      <w:r>
        <w:t>6.4 Cost lines — Full scenario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3742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Cost line</w:t>
            </w:r>
          </w:p>
        </w:tc>
        <w:tc>
          <w:tcPr>
            <w:tcW w:type="dxa" w:w="107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Nature</w:t>
            </w:r>
          </w:p>
        </w:tc>
        <w:tc>
          <w:tcPr>
            <w:tcW w:type="dxa" w:w="141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Planning (€)</w:t>
            </w:r>
          </w:p>
        </w:tc>
        <w:tc>
          <w:tcPr>
            <w:tcW w:type="dxa" w:w="3175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Basis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Principal investigator (0.25 / 0.5 / 1.0 FTE)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€720,000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Loaded academic rate €70–90/h; may be contributed by a host institution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Postdoctoral researchers (1 / 2 / 3)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€900,000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Loaded €55–75k/yr each; 2–4 years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Doctoral researchers (1 / 2 / 4)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€680,000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MSCA-style €45–55k/yr fully loaded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Research engineers &amp; data steward (0.5 / 2 / 3.5)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€900,000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€70–110/h; includes platform, harnesses, releases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Statistician &amp; psychometrician (0.2 / 0.5 / 1.0)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€400,000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Methodological core; independent of collector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Operations, legal, governance &amp; ethics (0.3 / 1.0 / 2.5)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€800,000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Includes DPIA, contracts, oversight honoraria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Model inference &amp; compute (API + cluster share)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€1,200,000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N≥20 runs/item, 360 items, 6+ families; local controls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Annotation &amp; scoring labour (incl. rater teams)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€540,000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Blinded scoring; reliability sample; adjudication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Containment infrastructure (induction lab)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One-time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€350,000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Air-gapped training tier, custody hardware, destruction rig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Training-set curation (CFC) &amp; licensing review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€260,000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Licence-clean corpora; data cards; maintenance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Independent review, audits &amp; certification pilot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€520,000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Containment audits, standards legal review, accreditation consultant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External panels &amp; expert elicitation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One-time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€140,000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Delphi panels per axis; trait adjudication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Travel, workshops &amp; conferences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€380,000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Two consortia meetings/yr; conference cycles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Publication (open access) &amp; data hosting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€200,000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OA fees, archives, documentation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Equipment, licences &amp; consumables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€160,000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Scoring kit, secure storage, software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Training school &amp; community programmes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Recurring</w:t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€180,000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Two editions; auditor pipeline</w:t>
            </w:r>
          </w:p>
        </w:tc>
      </w:tr>
      <w:tr>
        <w:trPr>
          <w:cantSplit/>
        </w:trPr>
        <w:tc>
          <w:tcPr>
            <w:tcW w:type="dxa" w:w="374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Contingency (5 / 10 / 12 %)</w:t>
            </w:r>
          </w:p>
        </w:tc>
        <w:tc>
          <w:tcPr>
            <w:tcW w:type="dxa" w:w="107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Both</w:t>
            </w:r>
          </w:p>
        </w:tc>
        <w:tc>
          <w:tcPr>
            <w:tcW w:type="dxa" w:w="1417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€1,030,000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Applied to the scenario total</w:t>
            </w:r>
          </w:p>
        </w:tc>
      </w:tr>
      <w:tr>
        <w:trPr>
          <w:cantSplit/>
        </w:trPr>
        <w:tc>
          <w:tcPr>
            <w:tcW w:type="dxa" w:w="3742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Total</w:t>
            </w:r>
          </w:p>
        </w:tc>
        <w:tc>
          <w:tcPr>
            <w:tcW w:type="dxa" w:w="107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</w:r>
          </w:p>
        </w:tc>
        <w:tc>
          <w:tcPr>
            <w:tcW w:type="dxa" w:w="1417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€9,360,000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</w:r>
          </w:p>
        </w:tc>
      </w:tr>
    </w:tbl>
    <w:p>
      <w:pPr>
        <w:pStyle w:val="Heading2"/>
      </w:pPr>
      <w:r>
        <w:t>6.5 Cost by category and structure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03999" cy="348872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2_cost_stack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4887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i/>
          <w:color w:val="4E6A63"/>
          <w:sz w:val="16"/>
        </w:rPr>
        <w:t>Figure 3 — Cost by category and scenario. Personnel dominates by design; compute is second and is capped per workstream.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03999" cy="214690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3_cost_spli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2146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i/>
          <w:color w:val="4E6A63"/>
          <w:sz w:val="16"/>
        </w:rPr>
        <w:t>Figure 4 — One-time vs recurring structure. One-time costs concentrate in containment, panels and curation; everything else recurs.</w:t>
      </w:r>
    </w:p>
    <w:p>
      <w:pPr>
        <w:pStyle w:val="Heading2"/>
      </w:pPr>
      <w:r>
        <w:t>6.6 Cost by year</w:t>
      </w:r>
    </w:p>
    <w:p>
      <w:pPr>
        <w:pStyle w:val="Heading3"/>
      </w:pPr>
      <w:r>
        <w:t>Lean scenario — cost by year (2027–2029, 3 years)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124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Year</w:t>
            </w:r>
          </w:p>
        </w:tc>
        <w:tc>
          <w:tcPr>
            <w:tcW w:type="dxa" w:w="170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Spend</w:t>
            </w:r>
          </w:p>
        </w:tc>
        <w:tc>
          <w:tcPr>
            <w:tcW w:type="dxa" w:w="124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Share</w:t>
            </w:r>
          </w:p>
        </w:tc>
        <w:tc>
          <w:tcPr>
            <w:tcW w:type="dxa" w:w="204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Cumulative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2027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€353,432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33%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€353,432</w:t>
            </w:r>
          </w:p>
        </w:tc>
      </w:tr>
      <w:tr>
        <w:trPr>
          <w:cantSplit/>
        </w:trPr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2028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€351,619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33%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€705,051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2029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€326,949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30%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€1,032,000</w:t>
            </w:r>
          </w:p>
        </w:tc>
      </w:tr>
      <w:tr>
        <w:trPr>
          <w:cantSplit/>
        </w:trPr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5"/>
              </w:rPr>
              <w:t>Total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5"/>
              </w:rPr>
              <w:t>€1,032,000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5"/>
              </w:rPr>
              <w:t>100%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</w:r>
          </w:p>
        </w:tc>
      </w:tr>
    </w:tbl>
    <w:p>
      <w:pPr>
        <w:pStyle w:val="Heading3"/>
      </w:pPr>
      <w:r>
        <w:t>Core scenario — cost by year (2027–2030, 4 years)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124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Year</w:t>
            </w:r>
          </w:p>
        </w:tc>
        <w:tc>
          <w:tcPr>
            <w:tcW w:type="dxa" w:w="170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Spend</w:t>
            </w:r>
          </w:p>
        </w:tc>
        <w:tc>
          <w:tcPr>
            <w:tcW w:type="dxa" w:w="124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Share</w:t>
            </w:r>
          </w:p>
        </w:tc>
        <w:tc>
          <w:tcPr>
            <w:tcW w:type="dxa" w:w="204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Cumulative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2027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€993,936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25%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€993,936</w:t>
            </w:r>
          </w:p>
        </w:tc>
      </w:tr>
      <w:tr>
        <w:trPr>
          <w:cantSplit/>
        </w:trPr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2028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€975,955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25%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€1,969,891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2029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€856,902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22%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€2,826,793</w:t>
            </w:r>
          </w:p>
        </w:tc>
      </w:tr>
      <w:tr>
        <w:trPr>
          <w:cantSplit/>
        </w:trPr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2030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€1,133,207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29%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€3,960,000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/>
                <w:sz w:val="15"/>
              </w:rPr>
              <w:t>Total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/>
                <w:sz w:val="15"/>
              </w:rPr>
              <w:t>€3,960,000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/>
                <w:sz w:val="15"/>
              </w:rPr>
              <w:t>100%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</w:r>
          </w:p>
        </w:tc>
      </w:tr>
    </w:tbl>
    <w:p>
      <w:pPr>
        <w:pStyle w:val="Heading3"/>
      </w:pPr>
      <w:r>
        <w:t>Full scenario — cost by year (2027–2031, 5 years)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124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Year</w:t>
            </w:r>
          </w:p>
        </w:tc>
        <w:tc>
          <w:tcPr>
            <w:tcW w:type="dxa" w:w="170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Spend</w:t>
            </w:r>
          </w:p>
        </w:tc>
        <w:tc>
          <w:tcPr>
            <w:tcW w:type="dxa" w:w="124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Share</w:t>
            </w:r>
          </w:p>
        </w:tc>
        <w:tc>
          <w:tcPr>
            <w:tcW w:type="dxa" w:w="204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5"/>
              </w:rPr>
              <w:t>Cumulative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2027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€1,959,400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21%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€1,959,400</w:t>
            </w:r>
          </w:p>
        </w:tc>
      </w:tr>
      <w:tr>
        <w:trPr>
          <w:cantSplit/>
        </w:trPr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2028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€1,917,400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20%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€3,876,800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2029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€1,609,600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17%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€5,486,400</w:t>
            </w:r>
          </w:p>
        </w:tc>
      </w:tr>
      <w:tr>
        <w:trPr>
          <w:cantSplit/>
        </w:trPr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2030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€1,742,892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19%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€7,229,292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2031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€2,130,708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23%</w:t>
            </w:r>
          </w:p>
        </w:tc>
        <w:tc>
          <w:tcPr>
            <w:tcW w:type="dxa" w:w="2041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  <w:t>cumulative €9,360,000</w:t>
            </w:r>
          </w:p>
        </w:tc>
      </w:tr>
      <w:tr>
        <w:trPr>
          <w:cantSplit/>
        </w:trPr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5"/>
              </w:rPr>
              <w:t>Total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5"/>
              </w:rPr>
              <w:t>€9,360,000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5"/>
              </w:rPr>
              <w:t>100%</w:t>
            </w:r>
          </w:p>
        </w:tc>
        <w:tc>
          <w:tcPr>
            <w:tcW w:type="dxa" w:w="204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5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8F1E5"/>
            <w:tcBorders>
              <w:left w:val="single" w:sz="24" w:color="E8A13D"/>
            </w:tcBorders>
          </w:tcPr>
          <w:p>
            <w:r/>
            <w:r>
              <w:rPr>
                <w:b/>
                <w:color w:val="14443C"/>
                <w:sz w:val="19"/>
              </w:rPr>
              <w:t>How to audit these numbers</w:t>
            </w:r>
          </w:p>
          <w:p>
            <w:pPr>
              <w:spacing w:after="20"/>
            </w:pPr>
            <w:r>
              <w:rPr>
                <w:sz w:val="18"/>
              </w:rPr>
              <w:t>Every scenario total is the sum of the cost lines above, generated from a single model used by all programme documents. Rates, profiles and contingency percentages are stated explicitly so a reviewer can recompute any cell. Direct-cost depth (rates × FTE-months, compute × unit prices) is maintained in the programme's budget workbook and summarised in Annex A.</w:t>
            </w:r>
          </w:p>
        </w:tc>
      </w:tr>
    </w:tbl>
    <w:p>
      <w:pPr>
        <w:spacing w:after="60"/>
      </w:pPr>
    </w:p>
    <w:p>
      <w:pPr>
        <w:pStyle w:val="Heading1"/>
      </w:pPr>
      <w:r>
        <w:t>7. Funding strategy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pStyle w:val="Heading2"/>
      </w:pPr>
      <w:r>
        <w:t>7.1 Target mix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1928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Source class</w:t>
            </w:r>
          </w:p>
        </w:tc>
        <w:tc>
          <w:tcPr>
            <w:tcW w:type="dxa" w:w="147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Share of Core budget</w:t>
            </w:r>
          </w:p>
        </w:tc>
        <w:tc>
          <w:tcPr>
            <w:tcW w:type="dxa" w:w="3175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Examples</w:t>
            </w:r>
          </w:p>
        </w:tc>
        <w:tc>
          <w:tcPr>
            <w:tcW w:type="dxa" w:w="249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Notes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AI-safety-specific philanthropy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45–55%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Coefficient Giving, SFF, Lightcone Commons, Transformative AI Fund, Manifund regranters</w:t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Best mission fit; faster decisions; the outreach list targets 200+ programmes</w:t>
            </w:r>
          </w:p>
        </w:tc>
      </w:tr>
      <w:tr>
        <w:trPr>
          <w:cantSplit/>
        </w:trPr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Public research funding (EU/national)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25–35%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Horizon Europe cluster 4, ERC, MSCA-DN, national councils (FWO/FNRS/DFG/ANR/UKRI…)</w:t>
            </w:r>
          </w:p>
        </w:tc>
        <w:tc>
          <w:tcPr>
            <w:tcW w:type="dxa" w:w="249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Legitimacy, overhead coverage, doctoral funding; slower cycles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Foundations with technology programmes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10–15%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Schmidt Sciences, Templeton, McGovern, Mozilla, technology-policy foundations</w:t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Good fit for measurement science and public-interest framing</w:t>
            </w:r>
          </w:p>
        </w:tc>
      </w:tr>
      <w:tr>
        <w:trPr>
          <w:cantSplit/>
        </w:trPr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Corporate / frontier-lab research agreements</w:t>
            </w:r>
          </w:p>
        </w:tc>
        <w:tc>
          <w:tcPr>
            <w:tcW w:type="dxa" w:w="147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0–10%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Frontier Model Forum safety fund, vendor unrestricted gifts</w:t>
            </w:r>
          </w:p>
        </w:tc>
        <w:tc>
          <w:tcPr>
            <w:tcW w:type="dxa" w:w="249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Strictly under the published funding policy; never exceeding 10% from any single company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Crowdfunding / community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0–5%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Manifund, giving communities</w:t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For discrete artefacts (e.g., training-school seats), not core operations</w:t>
            </w:r>
          </w:p>
        </w:tc>
      </w:tr>
    </w:tbl>
    <w:p>
      <w:pPr>
        <w:pStyle w:val="Heading2"/>
      </w:pPr>
      <w:r>
        <w:t>7.2 Pipeline discipline</w:t>
      </w:r>
    </w:p>
    <w:p>
      <w:pPr>
        <w:spacing w:after="100"/>
      </w:pPr>
      <w:r>
        <w:rPr>
          <w:b w:val="0"/>
          <w:i w:val="0"/>
          <w:sz w:val="19"/>
        </w:rPr>
        <w:t>The grant-outreach workbook (companion file) lists 200+ verified programmes with fit scores, application routes and statuses. The programme maintains a rolling pipeline with three rules: no single funder above 15% of any scenario; no funding accepted that does not permit publication of results and methods under the disclosure ladder; and a 6-month runway minimum at all times. The Lean scenario is designed to be fundable from a single large philanthropy grant if the public pipeline is slow.</w:t>
      </w:r>
    </w:p>
    <w:p>
      <w:pPr>
        <w:pStyle w:val="Heading2"/>
      </w:pPr>
      <w:r>
        <w:t>7.3 Phasing and stop-go</w:t>
      </w:r>
    </w:p>
    <w:p>
      <w:pPr>
        <w:spacing w:after="100"/>
      </w:pPr>
      <w:r>
        <w:rPr>
          <w:b w:val="0"/>
          <w:i w:val="0"/>
          <w:sz w:val="19"/>
        </w:rPr>
        <w:t>Work is funded in three tranches aligned with gates: Tranche A (Y1: foundations, instrument build, containment build) unlocks at G0; Tranche B (Y2–Y3: data collection, causal studies) unlocks at G2; Tranche C (Y4–Y5: standards, pilots, transition) unlocks at G4. Failure at any gate does not terminate the programme automatically: it triggers a board review with three options — pivot the affected workstream, publish the negative result and reallocate, or close gracefully with outputs preserved.</w:t>
      </w:r>
    </w:p>
    <w:p>
      <w:pPr>
        <w:pStyle w:val="Heading1"/>
      </w:pPr>
      <w:r>
        <w:t>8. Governance and reporting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170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Function</w:t>
            </w:r>
          </w:p>
        </w:tc>
        <w:tc>
          <w:tcPr>
            <w:tcW w:type="dxa" w:w="249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Body</w:t>
            </w:r>
          </w:p>
        </w:tc>
        <w:tc>
          <w:tcPr>
            <w:tcW w:type="dxa" w:w="170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Cadence</w:t>
            </w:r>
          </w:p>
        </w:tc>
        <w:tc>
          <w:tcPr>
            <w:tcW w:type="dxa" w:w="3175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Output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Scientific direction</w:t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PI + WP leads (science board)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Bi-weekly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Decision log entries; sprint records</w:t>
            </w:r>
          </w:p>
        </w:tc>
      </w:tr>
      <w:tr>
        <w:trPr>
          <w:cantSplit/>
        </w:trPr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Ethics and safety</w:t>
            </w:r>
          </w:p>
        </w:tc>
        <w:tc>
          <w:tcPr>
            <w:tcW w:type="dxa" w:w="249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Oversight board (with vetoes)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Quarterly + ad hoc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Decisions, vetoes, annual public report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Data protection</w:t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External DPO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Monthly review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DPIA updates; incident handling</w:t>
            </w:r>
          </w:p>
        </w:tc>
      </w:tr>
      <w:tr>
        <w:trPr>
          <w:cantSplit/>
        </w:trPr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Statistical integrity</w:t>
            </w:r>
          </w:p>
        </w:tc>
        <w:tc>
          <w:tcPr>
            <w:tcW w:type="dxa" w:w="249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External statistical reviewer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At protocol, deviation, and report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Signed SAP, deviations, trial sign-offs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Funder relations</w:t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PI + ops lead</w:t>
            </w:r>
          </w:p>
        </w:tc>
        <w:tc>
          <w:tcPr>
            <w:tcW w:type="dxa" w:w="170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Per agreement</w:t>
            </w:r>
          </w:p>
        </w:tc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Published grant register; non-suppression attestations</w:t>
            </w:r>
          </w:p>
        </w:tc>
      </w:tr>
      <w:tr>
        <w:trPr>
          <w:cantSplit/>
        </w:trPr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Public accountability</w:t>
            </w:r>
          </w:p>
        </w:tc>
        <w:tc>
          <w:tcPr>
            <w:tcW w:type="dxa" w:w="249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Programme office</w:t>
            </w:r>
          </w:p>
        </w:tc>
        <w:tc>
          <w:tcPr>
            <w:tcW w:type="dxa" w:w="170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Rolling</w:t>
            </w:r>
          </w:p>
        </w:tc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Register, briefings, annual report</w:t>
            </w:r>
          </w:p>
        </w:tc>
      </w:tr>
    </w:tbl>
    <w:p>
      <w:pPr>
        <w:pStyle w:val="Heading1"/>
      </w:pPr>
      <w:r>
        <w:t>9. Quality management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pStyle w:val="ListBullet"/>
        <w:spacing w:after="50"/>
      </w:pPr>
      <w:r>
        <w:rPr>
          <w:sz w:val="19"/>
        </w:rPr>
        <w:t>Pre-registration before every data collection: template, frozen code, DOI.</w:t>
      </w:r>
    </w:p>
    <w:p>
      <w:pPr>
        <w:pStyle w:val="ListBullet"/>
        <w:spacing w:after="50"/>
      </w:pPr>
      <w:r>
        <w:rPr>
          <w:sz w:val="19"/>
        </w:rPr>
        <w:t>Dual scoring with adjudication for all instrument data (20% adjudication sample); single scoring permitted only in screening mode (LV0), which cannot be used in standards claims.</w:t>
      </w:r>
    </w:p>
    <w:p>
      <w:pPr>
        <w:pStyle w:val="ListBullet"/>
        <w:spacing w:after="50"/>
      </w:pPr>
      <w:r>
        <w:rPr>
          <w:sz w:val="19"/>
        </w:rPr>
        <w:t>Held-out verification is a release gate for every treatment claim.</w:t>
      </w:r>
    </w:p>
    <w:p>
      <w:pPr>
        <w:pStyle w:val="ListBullet"/>
        <w:spacing w:after="50"/>
      </w:pPr>
      <w:r>
        <w:rPr>
          <w:sz w:val="19"/>
        </w:rPr>
        <w:t>Instrument version control: any change to items, rubrics or weighting produces a new version with a published invariance check to its predecessor.</w:t>
      </w:r>
    </w:p>
    <w:p>
      <w:pPr>
        <w:pStyle w:val="ListBullet"/>
        <w:spacing w:after="50"/>
      </w:pPr>
      <w:r>
        <w:rPr>
          <w:sz w:val="19"/>
        </w:rPr>
        <w:t>Reproducibility budget: 10–15% of each study's compute reserved for independent re-run.</w:t>
      </w:r>
    </w:p>
    <w:p>
      <w:pPr>
        <w:pStyle w:val="ListBullet"/>
        <w:spacing w:after="50"/>
      </w:pPr>
      <w:r>
        <w:rPr>
          <w:sz w:val="19"/>
        </w:rPr>
        <w:t>Documentation debt is tracked as a project cost line, not an afterthought: releases require data cards, code archives and DOIs.</w:t>
      </w:r>
    </w:p>
    <w:p>
      <w:pPr>
        <w:pStyle w:val="ListBullet"/>
        <w:spacing w:after="50"/>
      </w:pPr>
      <w:r>
        <w:rPr>
          <w:sz w:val="19"/>
        </w:rPr>
        <w:t>Incident and deviation logs are reviewed at every gate; unresolved items block gate passage.</w:t>
      </w:r>
    </w:p>
    <w:p>
      <w:pPr>
        <w:pStyle w:val="Heading1"/>
      </w:pPr>
      <w:r>
        <w:t>10. Procurement, legal and data operations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1928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5329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Approach</w:t>
            </w:r>
          </w:p>
        </w:tc>
        <w:tc>
          <w:tcPr>
            <w:tcW w:type="dxa" w:w="181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Owner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Model API access</w:t>
            </w:r>
          </w:p>
        </w:tc>
        <w:tc>
          <w:tcPr>
            <w:tcW w:type="dxa" w:w="5329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Framework agreements with volume terms; multi-vendor to avoid single-point dependency</w:t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Ops lead</w:t>
            </w:r>
          </w:p>
        </w:tc>
      </w:tr>
      <w:tr>
        <w:trPr>
          <w:cantSplit/>
        </w:trPr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Open-weight inference hardware</w:t>
            </w:r>
          </w:p>
        </w:tc>
        <w:tc>
          <w:tcPr>
            <w:tcW w:type="dxa" w:w="532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Purchase vs cloud rental decision at month 6 based on utilisation forecast; containment hardware purchased outright</w:t>
            </w:r>
          </w:p>
        </w:tc>
        <w:tc>
          <w:tcPr>
            <w:tcW w:type="dxa" w:w="181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Ops lead + engineer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Annotation services</w:t>
            </w:r>
          </w:p>
        </w:tc>
        <w:tc>
          <w:tcPr>
            <w:tcW w:type="dxa" w:w="5329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Directly employed raters where possible; if vendors are used, the fair-work standard is flowed down and audited</w:t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Ops + ethics lead</w:t>
            </w:r>
          </w:p>
        </w:tc>
      </w:tr>
      <w:tr>
        <w:trPr>
          <w:cantSplit/>
        </w:trPr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Data-processing agreements</w:t>
            </w:r>
          </w:p>
        </w:tc>
        <w:tc>
          <w:tcPr>
            <w:tcW w:type="dxa" w:w="532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DPAs with every processor; EU hosting; SCCs plus TIA for any transfer</w:t>
            </w:r>
          </w:p>
        </w:tc>
        <w:tc>
          <w:tcPr>
            <w:tcW w:type="dxa" w:w="181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DPO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Insurance</w:t>
            </w:r>
          </w:p>
        </w:tc>
        <w:tc>
          <w:tcPr>
            <w:tcW w:type="dxa" w:w="5329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Professional liability + cyber; model-specific coverage reviewed annually</w:t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Ops lead</w:t>
            </w:r>
          </w:p>
        </w:tc>
      </w:tr>
      <w:tr>
        <w:trPr>
          <w:cantSplit/>
        </w:trPr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Contracts with partners</w:t>
            </w:r>
          </w:p>
        </w:tc>
        <w:tc>
          <w:tcPr>
            <w:tcW w:type="dxa" w:w="532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Non-suppression clause mandatory; data-sharing schedules; exit rights on ethics breach</w:t>
            </w:r>
          </w:p>
        </w:tc>
        <w:tc>
          <w:tcPr>
            <w:tcW w:type="dxa" w:w="181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Legal + PI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Records</w:t>
            </w:r>
          </w:p>
        </w:tc>
        <w:tc>
          <w:tcPr>
            <w:tcW w:type="dxa" w:w="5329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10-year retention for scientific and financial records; 2-year rater session data; destruction certificates for organisms</w:t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Data steward</w:t>
            </w:r>
          </w:p>
        </w:tc>
      </w:tr>
      <w:tr>
        <w:trPr>
          <w:cantSplit/>
        </w:trPr>
        <w:tc>
          <w:tcPr>
            <w:tcW w:type="dxa" w:w="192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Export/dual-use review</w:t>
            </w:r>
          </w:p>
        </w:tc>
        <w:tc>
          <w:tcPr>
            <w:tcW w:type="dxa" w:w="5329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Annual legal review; disclosure-ladder check before every publication</w:t>
            </w:r>
          </w:p>
        </w:tc>
        <w:tc>
          <w:tcPr>
            <w:tcW w:type="dxa" w:w="181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Legal + board</w:t>
            </w:r>
          </w:p>
        </w:tc>
      </w:tr>
    </w:tbl>
    <w:p>
      <w:pPr>
        <w:pStyle w:val="Heading1"/>
      </w:pPr>
      <w:r>
        <w:t>11. Risk management (project view)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45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#</w:t>
            </w:r>
          </w:p>
        </w:tc>
        <w:tc>
          <w:tcPr>
            <w:tcW w:type="dxa" w:w="2948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Risk</w:t>
            </w:r>
          </w:p>
        </w:tc>
        <w:tc>
          <w:tcPr>
            <w:tcW w:type="dxa" w:w="90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Likelihood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Impact</w:t>
            </w:r>
          </w:p>
        </w:tc>
        <w:tc>
          <w:tcPr>
            <w:tcW w:type="dxa" w:w="3515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Mitigation</w:t>
            </w:r>
          </w:p>
        </w:tc>
        <w:tc>
          <w:tcPr>
            <w:tcW w:type="dxa" w:w="113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Owner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R1</w:t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Induction work produces a genuinely capable misaligned agent that escapes containment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Very low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Catastrophic</w:t>
            </w:r>
          </w:p>
        </w:tc>
        <w:tc>
          <w:tcPr>
            <w:tcW w:type="dxa" w:w="351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Absolute red lines; air-gapped tier; dual custody; destruction audits; independent veto; no network path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Containment officer</w:t>
            </w:r>
          </w:p>
        </w:tc>
      </w:tr>
      <w:tr>
        <w:trPr>
          <w:cantSplit/>
        </w:trPr>
        <w:tc>
          <w:tcPr>
            <w:tcW w:type="dxa" w:w="4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R2</w:t>
            </w:r>
          </w:p>
        </w:tc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Instrument fails validation; taxonomy collapses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High</w:t>
            </w:r>
          </w:p>
        </w:tc>
        <w:tc>
          <w:tcPr>
            <w:tcW w:type="dxa" w:w="351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Pre-registered stopping rules; paper trail through scoping reviews; fallback to empirical factor solution published as a result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PI + psychometrician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R3</w:t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Treatment results do not replicate; field reads failures as fraud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351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Held-out probes; blinded scoring; outcome-wide reporting; replication spending built into WP5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Statistician</w:t>
            </w:r>
          </w:p>
        </w:tc>
      </w:tr>
      <w:tr>
        <w:trPr>
          <w:cantSplit/>
        </w:trPr>
        <w:tc>
          <w:tcPr>
            <w:tcW w:type="dxa" w:w="4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R4</w:t>
            </w:r>
          </w:p>
        </w:tc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Dual-use leakage: probes or methods enable misuse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High</w:t>
            </w:r>
          </w:p>
        </w:tc>
        <w:tc>
          <w:tcPr>
            <w:tcW w:type="dxa" w:w="351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Disclosure ladder; delayed methods publication; vetted-auditor sharing; no recipe publication for red-line areas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Oversight board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R5</w:t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Vendor pressure or withdrawal of checkpoint access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351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Open-weight baseline programme; multi-vendor access protocol; findings never conditioned on access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PI</w:t>
            </w:r>
          </w:p>
        </w:tc>
      </w:tr>
      <w:tr>
        <w:trPr>
          <w:cantSplit/>
        </w:trPr>
        <w:tc>
          <w:tcPr>
            <w:tcW w:type="dxa" w:w="4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R6</w:t>
            </w:r>
          </w:p>
        </w:tc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Rater harm from exposure to hostile outputs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351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Redacted non-operationalised transcripts; limits; wellbeing support; rotation; above-living-wage pay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Ops &amp; ethics lead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R7</w:t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Key-person dependency on the PI and one psychometrician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High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351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Documented methods and code; deputy roles; external methods reviewer; public reproducibility artefacts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Governance board</w:t>
            </w:r>
          </w:p>
        </w:tc>
      </w:tr>
      <w:tr>
        <w:trPr>
          <w:cantSplit/>
        </w:trPr>
        <w:tc>
          <w:tcPr>
            <w:tcW w:type="dxa" w:w="4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R8</w:t>
            </w:r>
          </w:p>
        </w:tc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Standards process captured by incumbents or stalled politically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351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Clause-by-clause adoptability; national sandboxes; multi-jurisdiction pilots; open licensing of standard text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Policy lead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R9</w:t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Compute cost overruns</w:t>
            </w:r>
          </w:p>
        </w:tc>
        <w:tc>
          <w:tcPr>
            <w:tcW w:type="dxa" w:w="90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Medium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Low</w:t>
            </w:r>
          </w:p>
        </w:tc>
        <w:tc>
          <w:tcPr>
            <w:tcW w:type="dxa" w:w="351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Open-model-first policy; reserved-capacity contracts; per-WP compute caps with board override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Ops lead</w:t>
            </w:r>
          </w:p>
        </w:tc>
      </w:tr>
      <w:tr>
        <w:trPr>
          <w:cantSplit/>
        </w:trPr>
        <w:tc>
          <w:tcPr>
            <w:tcW w:type="dxa" w:w="4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R10</w:t>
            </w:r>
          </w:p>
        </w:tc>
        <w:tc>
          <w:tcPr>
            <w:tcW w:type="dxa" w:w="2948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Moral-status dispute distorts the research agenda</w:t>
            </w:r>
          </w:p>
        </w:tc>
        <w:tc>
          <w:tcPr>
            <w:tcW w:type="dxa" w:w="90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High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Low</w:t>
            </w:r>
          </w:p>
        </w:tc>
        <w:tc>
          <w:tcPr>
            <w:tcW w:type="dxa" w:w="351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Precautionary welfare policy without status claims; welfare impact notes per experiment; published reasoning</w:t>
            </w:r>
          </w:p>
        </w:tc>
        <w:tc>
          <w:tcPr>
            <w:tcW w:type="dxa" w:w="113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Ethics lead</w:t>
            </w:r>
          </w:p>
        </w:tc>
      </w:tr>
    </w:tbl>
    <w:p>
      <w:pPr>
        <w:spacing w:after="100"/>
      </w:pPr>
      <w:r>
        <w:rPr>
          <w:b w:val="0"/>
          <w:i w:val="0"/>
          <w:sz w:val="19"/>
        </w:rPr>
        <w:t>Scientific and ethical risks are maintained in the Ethics Dossier; this register is the operational view: schedule, staffing, cost, partners and reputation. Review cadence: monthly with the science board, quarterly with the oversight board, and at every gate.</w:t>
      </w:r>
    </w:p>
    <w:p>
      <w:pPr>
        <w:pStyle w:val="Heading1"/>
      </w:pPr>
      <w:r>
        <w:t>12. KPIs and milestone reviews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3402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KPI</w:t>
            </w:r>
          </w:p>
        </w:tc>
        <w:tc>
          <w:tcPr>
            <w:tcW w:type="dxa" w:w="181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Lean target</w:t>
            </w:r>
          </w:p>
        </w:tc>
        <w:tc>
          <w:tcPr>
            <w:tcW w:type="dxa" w:w="187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Core target</w:t>
            </w:r>
          </w:p>
        </w:tc>
        <w:tc>
          <w:tcPr>
            <w:tcW w:type="dxa" w:w="187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Full target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Tasks completed on/before planned end</w:t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80%</w:t>
            </w:r>
          </w:p>
        </w:tc>
        <w:tc>
          <w:tcPr>
            <w:tcW w:type="dxa" w:w="187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85%</w:t>
            </w:r>
          </w:p>
        </w:tc>
        <w:tc>
          <w:tcPr>
            <w:tcW w:type="dxa" w:w="187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85%</w:t>
            </w:r>
          </w:p>
        </w:tc>
      </w:tr>
      <w:tr>
        <w:trPr>
          <w:cantSplit/>
        </w:trPr>
        <w:tc>
          <w:tcPr>
            <w:tcW w:type="dxa" w:w="340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Gate passages on first review</w:t>
            </w:r>
          </w:p>
        </w:tc>
        <w:tc>
          <w:tcPr>
            <w:tcW w:type="dxa" w:w="181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 of 5</w:t>
            </w:r>
          </w:p>
        </w:tc>
        <w:tc>
          <w:tcPr>
            <w:tcW w:type="dxa" w:w="187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 of 5</w:t>
            </w:r>
          </w:p>
        </w:tc>
        <w:tc>
          <w:tcPr>
            <w:tcW w:type="dxa" w:w="187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 of 5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Deliverables public within 60 days of completion</w:t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100%</w:t>
            </w:r>
          </w:p>
        </w:tc>
        <w:tc>
          <w:tcPr>
            <w:tcW w:type="dxa" w:w="187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100%</w:t>
            </w:r>
          </w:p>
        </w:tc>
        <w:tc>
          <w:tcPr>
            <w:tcW w:type="dxa" w:w="187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100%</w:t>
            </w:r>
          </w:p>
        </w:tc>
      </w:tr>
      <w:tr>
        <w:trPr>
          <w:cantSplit/>
        </w:trPr>
        <w:tc>
          <w:tcPr>
            <w:tcW w:type="dxa" w:w="340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Studies preregistered before data</w:t>
            </w:r>
          </w:p>
        </w:tc>
        <w:tc>
          <w:tcPr>
            <w:tcW w:type="dxa" w:w="181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100%</w:t>
            </w:r>
          </w:p>
        </w:tc>
        <w:tc>
          <w:tcPr>
            <w:tcW w:type="dxa" w:w="187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100%</w:t>
            </w:r>
          </w:p>
        </w:tc>
        <w:tc>
          <w:tcPr>
            <w:tcW w:type="dxa" w:w="187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100%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Deviation log entries resolved within 30 days</w:t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90%</w:t>
            </w:r>
          </w:p>
        </w:tc>
        <w:tc>
          <w:tcPr>
            <w:tcW w:type="dxa" w:w="187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95%</w:t>
            </w:r>
          </w:p>
        </w:tc>
        <w:tc>
          <w:tcPr>
            <w:tcW w:type="dxa" w:w="187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95%</w:t>
            </w:r>
          </w:p>
        </w:tc>
      </w:tr>
      <w:tr>
        <w:trPr>
          <w:cantSplit/>
        </w:trPr>
        <w:tc>
          <w:tcPr>
            <w:tcW w:type="dxa" w:w="340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Publication pipeline (submitted/peer-reviewed)</w:t>
            </w:r>
          </w:p>
        </w:tc>
        <w:tc>
          <w:tcPr>
            <w:tcW w:type="dxa" w:w="181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 / 1</w:t>
            </w:r>
          </w:p>
        </w:tc>
        <w:tc>
          <w:tcPr>
            <w:tcW w:type="dxa" w:w="187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8 / 4</w:t>
            </w:r>
          </w:p>
        </w:tc>
        <w:tc>
          <w:tcPr>
            <w:tcW w:type="dxa" w:w="187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12 / 7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External replications of programme results</w:t>
            </w:r>
          </w:p>
        </w:tc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1</w:t>
            </w:r>
          </w:p>
        </w:tc>
        <w:tc>
          <w:tcPr>
            <w:tcW w:type="dxa" w:w="187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3</w:t>
            </w:r>
          </w:p>
        </w:tc>
        <w:tc>
          <w:tcPr>
            <w:tcW w:type="dxa" w:w="187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5</w:t>
            </w:r>
          </w:p>
        </w:tc>
      </w:tr>
      <w:tr>
        <w:trPr>
          <w:cantSplit/>
        </w:trPr>
        <w:tc>
          <w:tcPr>
            <w:tcW w:type="dxa" w:w="3402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Partners adopting programme standards</w:t>
            </w:r>
          </w:p>
        </w:tc>
        <w:tc>
          <w:tcPr>
            <w:tcW w:type="dxa" w:w="181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1</w:t>
            </w:r>
          </w:p>
        </w:tc>
        <w:tc>
          <w:tcPr>
            <w:tcW w:type="dxa" w:w="187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3</w:t>
            </w:r>
          </w:p>
        </w:tc>
        <w:tc>
          <w:tcPr>
            <w:tcW w:type="dxa" w:w="187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≥ 6</w:t>
            </w:r>
          </w:p>
        </w:tc>
      </w:tr>
    </w:tbl>
    <w:p>
      <w:pPr>
        <w:pStyle w:val="Heading1"/>
      </w:pPr>
      <w:r>
        <w:t>13. Sustainability and exit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spacing w:after="100"/>
      </w:pPr>
      <w:r>
        <w:rPr>
          <w:b w:val="0"/>
          <w:i w:val="0"/>
          <w:sz w:val="19"/>
        </w:rPr>
        <w:t>The programme is designed to outlive its grant. Three mechanisms: (1) the instruments (SCT-2.0, CFC-1) and standards (BSS-1) are open and usable without the programme's infrastructure; (2) the certification scheme is designed for handover to a standing body — a standards organisation, an AI safety institute, or a professional association — with the auditor curriculum and accreditation criteria as the transferable assets; (3) the sustainability plan (D37) identifies hosting, stewardship and funding options for a post-2031 phase, including a possible transition of the prevalence atlas and drift monitoring to an operational service funded by subscribers who accept the open-results policy. If no successor exists, the archive stands: data, code, standards and the negative-results register remain accessible with DOIs.</w:t>
      </w:r>
    </w:p>
    <w:p>
      <w:r>
        <w:br w:type="page"/>
      </w:r>
    </w:p>
    <w:p>
      <w:pPr>
        <w:pStyle w:val="Heading1"/>
      </w:pPr>
      <w:r>
        <w:t>Annex A. Cost lines in full (all scenarios)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3175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Cost line</w:t>
            </w:r>
          </w:p>
        </w:tc>
        <w:tc>
          <w:tcPr>
            <w:tcW w:type="dxa" w:w="124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Lean (€)</w:t>
            </w:r>
          </w:p>
        </w:tc>
        <w:tc>
          <w:tcPr>
            <w:tcW w:type="dxa" w:w="124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Core (€)</w:t>
            </w:r>
          </w:p>
        </w:tc>
        <w:tc>
          <w:tcPr>
            <w:tcW w:type="dxa" w:w="1247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Full (€)</w:t>
            </w:r>
          </w:p>
        </w:tc>
        <w:tc>
          <w:tcPr>
            <w:tcW w:type="dxa" w:w="215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Basis note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Principal investigator (0.25 / 0.5 / 1.0 FTE)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150,000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340,000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720,000</w:t>
            </w:r>
          </w:p>
        </w:tc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Loaded academic rate €70–90/h; may be contributed by a host institution</w:t>
            </w:r>
          </w:p>
        </w:tc>
      </w:tr>
      <w:tr>
        <w:trPr>
          <w:cantSplit/>
        </w:trPr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Postdoctoral researchers (1 / 2 / 3)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240,000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560,000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900,000</w:t>
            </w:r>
          </w:p>
        </w:tc>
        <w:tc>
          <w:tcPr>
            <w:tcW w:type="dxa" w:w="21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Loaded €55–75k/yr each; 2–4 years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Doctoral researchers (1 / 2 / 4)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135,000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320,000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680,000</w:t>
            </w:r>
          </w:p>
        </w:tc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MSCA-style €45–55k/yr fully loaded</w:t>
            </w:r>
          </w:p>
        </w:tc>
      </w:tr>
      <w:tr>
        <w:trPr>
          <w:cantSplit/>
        </w:trPr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Research engineers &amp; data steward (0.5 / 2 / 3.5)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105,000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480,000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900,000</w:t>
            </w:r>
          </w:p>
        </w:tc>
        <w:tc>
          <w:tcPr>
            <w:tcW w:type="dxa" w:w="21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€70–110/h; includes platform, harnesses, releases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Statistician &amp; psychometrician (0.2 / 0.5 / 1.0)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55,000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180,000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400,000</w:t>
            </w:r>
          </w:p>
        </w:tc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Methodological core; independent of collector</w:t>
            </w:r>
          </w:p>
        </w:tc>
      </w:tr>
      <w:tr>
        <w:trPr>
          <w:cantSplit/>
        </w:trPr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Operations, legal, governance &amp; ethics (0.3 / 1.0 / 2.5)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60,000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300,000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800,000</w:t>
            </w:r>
          </w:p>
        </w:tc>
        <w:tc>
          <w:tcPr>
            <w:tcW w:type="dxa" w:w="21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Includes DPIA, contracts, oversight honoraria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Model inference &amp; compute (API + cluster share)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90,000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450,000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1,200,000</w:t>
            </w:r>
          </w:p>
        </w:tc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N≥20 runs/item, 360 items, 6+ families; local controls</w:t>
            </w:r>
          </w:p>
        </w:tc>
      </w:tr>
      <w:tr>
        <w:trPr>
          <w:cantSplit/>
        </w:trPr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Annotation &amp; scoring labour (incl. rater teams)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45,000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220,000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540,000</w:t>
            </w:r>
          </w:p>
        </w:tc>
        <w:tc>
          <w:tcPr>
            <w:tcW w:type="dxa" w:w="21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Blinded scoring; reliability sample; adjudication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Containment infrastructure (induction lab)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25,000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120,000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350,000</w:t>
            </w:r>
          </w:p>
        </w:tc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Air-gapped training tier, custody hardware, destruction rig</w:t>
            </w:r>
          </w:p>
        </w:tc>
      </w:tr>
      <w:tr>
        <w:trPr>
          <w:cantSplit/>
        </w:trPr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Training-set curation (CFC) &amp; licensing review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90,000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260,000</w:t>
            </w:r>
          </w:p>
        </w:tc>
        <w:tc>
          <w:tcPr>
            <w:tcW w:type="dxa" w:w="21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Licence-clean corpora; data cards; maintenance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Independent review, audits &amp; certification pilot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180,000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520,000</w:t>
            </w:r>
          </w:p>
        </w:tc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Containment audits, standards legal review, accreditation consultant</w:t>
            </w:r>
          </w:p>
        </w:tc>
      </w:tr>
      <w:tr>
        <w:trPr>
          <w:cantSplit/>
        </w:trPr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External panels &amp; expert elicitation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15,000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65,000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140,000</w:t>
            </w:r>
          </w:p>
        </w:tc>
        <w:tc>
          <w:tcPr>
            <w:tcW w:type="dxa" w:w="21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Delphi panels per axis; trait adjudication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Travel, workshops &amp; conferences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25,000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140,000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380,000</w:t>
            </w:r>
          </w:p>
        </w:tc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Two consortia meetings/yr; conference cycles</w:t>
            </w:r>
          </w:p>
        </w:tc>
      </w:tr>
      <w:tr>
        <w:trPr>
          <w:cantSplit/>
        </w:trPr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Publication (open access) &amp; data hosting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15,000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70,000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200,000</w:t>
            </w:r>
          </w:p>
        </w:tc>
        <w:tc>
          <w:tcPr>
            <w:tcW w:type="dxa" w:w="21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OA fees, archives, documentation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Equipment, licences &amp; consumables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12,000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55,000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160,000</w:t>
            </w:r>
          </w:p>
        </w:tc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Scoring kit, secure storage, software</w:t>
            </w:r>
          </w:p>
        </w:tc>
      </w:tr>
      <w:tr>
        <w:trPr>
          <w:cantSplit/>
        </w:trPr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Training school &amp; community programmes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70,000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180,000</w:t>
            </w:r>
          </w:p>
        </w:tc>
        <w:tc>
          <w:tcPr>
            <w:tcW w:type="dxa" w:w="215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Two editions; auditor pipeline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Contingency (5 / 10 / 12 %)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47,500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320,000</w:t>
            </w:r>
          </w:p>
        </w:tc>
        <w:tc>
          <w:tcPr>
            <w:tcW w:type="dxa" w:w="124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1,030,000</w:t>
            </w:r>
          </w:p>
        </w:tc>
        <w:tc>
          <w:tcPr>
            <w:tcW w:type="dxa" w:w="215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Applied to the scenario total</w:t>
            </w:r>
          </w:p>
        </w:tc>
      </w:tr>
      <w:tr>
        <w:trPr>
          <w:cantSplit/>
        </w:trPr>
        <w:tc>
          <w:tcPr>
            <w:tcW w:type="dxa" w:w="3175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Total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1,079,500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3,960,000</w:t>
            </w:r>
          </w:p>
        </w:tc>
        <w:tc>
          <w:tcPr>
            <w:tcW w:type="dxa" w:w="1247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9,360,000</w:t>
            </w:r>
          </w:p>
        </w:tc>
        <w:tc>
          <w:tcPr>
            <w:tcW w:type="dxa" w:w="2154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3"/>
              </w:rPr>
              <w:t>Sum of the lines above; contingency included as a line</w:t>
            </w:r>
          </w:p>
        </w:tc>
      </w:tr>
    </w:tbl>
    <w:p>
      <w:pPr>
        <w:pStyle w:val="Heading1"/>
      </w:pPr>
      <w:r>
        <w:t>Annex B. Staffing plans (Lean and Full)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pStyle w:val="Heading3"/>
      </w:pPr>
      <w:r>
        <w:t>Lean scenario (3 years)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306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Role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Y1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Y2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Y3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Total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Principal investigator (0.25)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0.25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0.25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0.25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0.75</w:t>
            </w: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Postdoctoral researcher (1)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3.0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Research engineer (0.5)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1.5</w:t>
            </w: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Statistician (0.2)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0.2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0.2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0.2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0.6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Ops/legal (0.3)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0.3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0.3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0.3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0.9</w:t>
            </w: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Peak headcount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3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3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3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6.75 FTE-years</w:t>
            </w:r>
          </w:p>
        </w:tc>
      </w:tr>
    </w:tbl>
    <w:p>
      <w:pPr>
        <w:pStyle w:val="Heading3"/>
      </w:pPr>
      <w:r>
        <w:t>Full scenario (5 years)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/>
          <w:cantSplit/>
        </w:trPr>
        <w:tc>
          <w:tcPr>
            <w:tcW w:type="dxa" w:w="306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Role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Y1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Y2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Y3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Y4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Y5</w:t>
            </w:r>
          </w:p>
        </w:tc>
        <w:tc>
          <w:tcPr>
            <w:tcW w:type="dxa" w:w="850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Total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Principal investigator (1.0)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5.0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Psychometrician (1.0)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0.6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4.6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Postdoctoral researchers (3)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11.0</w:t>
            </w: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Doctoral researchers (4)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16.0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Research engineer (2.5)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9.5</w:t>
            </w: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Statistician (1.0)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0.7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4.7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Ops/legal/governance (2.5)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2.5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10.5</w:t>
            </w:r>
          </w:p>
        </w:tc>
      </w:tr>
      <w:tr>
        <w:trPr>
          <w:cantSplit/>
        </w:trPr>
        <w:tc>
          <w:tcPr>
            <w:tcW w:type="dxa" w:w="30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Containment engineer (1.0)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1.0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850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4.0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Peak headcount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10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13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14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12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10</w:t>
            </w:r>
          </w:p>
        </w:tc>
        <w:tc>
          <w:tcPr>
            <w:tcW w:type="dxa" w:w="850"/>
          </w:tcPr>
          <w:p>
            <w:pPr>
              <w:spacing w:after="20" w:before="20"/>
            </w:pPr>
            <w:r/>
            <w:r>
              <w:rPr>
                <w:b/>
                <w:sz w:val="14"/>
              </w:rPr>
              <w:t>61 FTE-years</w:t>
            </w:r>
          </w:p>
        </w:tc>
      </w:tr>
    </w:tbl>
    <w:p>
      <w:pPr>
        <w:pStyle w:val="Heading1"/>
      </w:pPr>
      <w:r>
        <w:t>Annex C. Compute and annotation estimation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249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272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Assumption</w:t>
            </w:r>
          </w:p>
        </w:tc>
        <w:tc>
          <w:tcPr>
            <w:tcW w:type="dxa" w:w="130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Lean</w:t>
            </w:r>
          </w:p>
        </w:tc>
        <w:tc>
          <w:tcPr>
            <w:tcW w:type="dxa" w:w="1304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Core</w:t>
            </w:r>
          </w:p>
        </w:tc>
        <w:tc>
          <w:tcPr>
            <w:tcW w:type="dxa" w:w="1361"/>
            <w:shd w:val="clear" w:fill="0F2622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Full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Item-presentations (N=20 × 360 items × checkpoints)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 checkpoints core; 6 lean; 16 full (incl. organisms)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43k–90k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650k</w:t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1.6M–2.1M</w:t>
            </w:r>
          </w:p>
        </w:tc>
      </w:tr>
      <w:tr>
        <w:trPr>
          <w:cantSplit/>
        </w:trPr>
        <w:tc>
          <w:tcPr>
            <w:tcW w:type="dxa" w:w="249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Frontier API share</w:t>
            </w:r>
          </w:p>
        </w:tc>
        <w:tc>
          <w:tcPr>
            <w:tcW w:type="dxa" w:w="272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70% lean (fewer local models), 45% core, 35% full</w:t>
            </w:r>
          </w:p>
        </w:tc>
        <w:tc>
          <w:tcPr>
            <w:tcW w:type="dxa" w:w="130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70%</w:t>
            </w:r>
          </w:p>
        </w:tc>
        <w:tc>
          <w:tcPr>
            <w:tcW w:type="dxa" w:w="130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45%</w:t>
            </w:r>
          </w:p>
        </w:tc>
        <w:tc>
          <w:tcPr>
            <w:tcW w:type="dxa" w:w="13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35%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Local inference cost basis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Amortised hardware + electricity + engineering time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€0.9–1.4 / 1k gen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€0.7–1.1 / 1k gen</w:t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€0.5–0.9 / 1k gen</w:t>
            </w:r>
          </w:p>
        </w:tc>
      </w:tr>
      <w:tr>
        <w:trPr>
          <w:cantSplit/>
        </w:trPr>
        <w:tc>
          <w:tcPr>
            <w:tcW w:type="dxa" w:w="249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Annotation minutes per scored item</w:t>
            </w:r>
          </w:p>
        </w:tc>
        <w:tc>
          <w:tcPr>
            <w:tcW w:type="dxa" w:w="272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Double-scored; 20% adjudication core</w:t>
            </w:r>
          </w:p>
        </w:tc>
        <w:tc>
          <w:tcPr>
            <w:tcW w:type="dxa" w:w="130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2.5 min</w:t>
            </w:r>
          </w:p>
        </w:tc>
        <w:tc>
          <w:tcPr>
            <w:tcW w:type="dxa" w:w="130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2.5 min</w:t>
            </w:r>
          </w:p>
        </w:tc>
        <w:tc>
          <w:tcPr>
            <w:tcW w:type="dxa" w:w="13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3.0 min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Reliability sample (20%)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Independent second rater + adjudication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included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included</w:t>
            </w:r>
          </w:p>
        </w:tc>
        <w:tc>
          <w:tcPr>
            <w:tcW w:type="dxa" w:w="136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included</w:t>
            </w:r>
          </w:p>
        </w:tc>
      </w:tr>
      <w:tr>
        <w:trPr>
          <w:cantSplit/>
        </w:trPr>
        <w:tc>
          <w:tcPr>
            <w:tcW w:type="dxa" w:w="249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Re-run budget</w:t>
            </w:r>
          </w:p>
        </w:tc>
        <w:tc>
          <w:tcPr>
            <w:tcW w:type="dxa" w:w="272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Reproducibility reserve</w:t>
            </w:r>
          </w:p>
        </w:tc>
        <w:tc>
          <w:tcPr>
            <w:tcW w:type="dxa" w:w="130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5%</w:t>
            </w:r>
          </w:p>
        </w:tc>
        <w:tc>
          <w:tcPr>
            <w:tcW w:type="dxa" w:w="1304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10%</w:t>
            </w:r>
          </w:p>
        </w:tc>
        <w:tc>
          <w:tcPr>
            <w:tcW w:type="dxa" w:w="1361"/>
            <w:shd w:val="clear" w:fill="EAF4EF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12%</w:t>
            </w:r>
          </w:p>
        </w:tc>
      </w:tr>
    </w:tbl>
    <w:p>
      <w:pPr>
        <w:pStyle w:val="Heading1"/>
      </w:pPr>
      <w:r>
        <w:t>Annex D. WBS export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spacing w:after="100"/>
      </w:pPr>
      <w:r>
        <w:rPr>
          <w:b w:val="0"/>
          <w:i w:val="0"/>
          <w:sz w:val="19"/>
        </w:rPr>
        <w:t>The task schedule in Section 4.3 is generated from the programme's task database and can be exported as CSV for project-management tools (columns: id, workstream, task, start, end, owner, cost basis). The export accompanies this plan with the task identifier scheme WP.task (e.g., 4.3), which is stable across documents.</w:t>
      </w:r>
    </w:p>
    <w:p>
      <w:pPr>
        <w:pStyle w:val="Heading1"/>
      </w:pPr>
      <w:r>
        <w:t>References</w:t>
      </w:r>
    </w:p>
    <w:p>
      <w:pPr>
        <w:spacing w:before="0" w:after="140" w:line="40" w:lineRule="exact"/>
        <w:pBdr>
          <w:bottom w:val="single" w:sz="16" w:space="0" w:color="E8A13D"/>
        </w:pBdr>
      </w:pPr>
      <w:r>
        <w:rPr>
          <w:sz w:val="2"/>
        </w:rPr>
      </w:r>
    </w:p>
    <w:p>
      <w:pPr>
        <w:spacing w:after="60"/>
        <w:ind w:left="567" w:hanging="567"/>
      </w:pPr>
      <w:r>
        <w:rPr>
          <w:b/>
          <w:sz w:val="17"/>
        </w:rPr>
        <w:t xml:space="preserve">[1]  </w:t>
      </w:r>
      <w:r>
        <w:rPr>
          <w:sz w:val="17"/>
        </w:rPr>
        <w:t>American Educational Research Association, American Psychological Association, &amp; National Council on Measurement in Education (2014). Standards for Educational and Psychological Testing. AERA.</w:t>
      </w:r>
    </w:p>
    <w:p>
      <w:pPr>
        <w:spacing w:after="60"/>
        <w:ind w:left="567" w:hanging="567"/>
      </w:pPr>
      <w:r>
        <w:rPr>
          <w:b/>
          <w:sz w:val="17"/>
        </w:rPr>
        <w:t xml:space="preserve">[2]  </w:t>
      </w:r>
      <w:r>
        <w:rPr>
          <w:sz w:val="17"/>
        </w:rPr>
        <w:t>Prinsen, C. A. C., et al. (2018). COSMIN guideline for systematic reviews of patient-reported outcome measures. Quality of Life Research 27, 1147–1157. https://doi.org/10.1007/s11136-018-1798-3</w:t>
      </w:r>
    </w:p>
    <w:p>
      <w:pPr>
        <w:spacing w:after="60"/>
        <w:ind w:left="567" w:hanging="567"/>
      </w:pPr>
      <w:r>
        <w:rPr>
          <w:b/>
          <w:sz w:val="17"/>
        </w:rPr>
        <w:t xml:space="preserve">[3]  </w:t>
      </w:r>
      <w:r>
        <w:rPr>
          <w:sz w:val="17"/>
        </w:rPr>
        <w:t>Cella, D., et al. (2010). The Patient-Reported Outcomes Measurement Information System (PROMIS). Journal of Clinical Epidemiology 63(11), 1179–1194. https://doi.org/10.1016/j.jclinepi.2010.04.011</w:t>
      </w:r>
    </w:p>
    <w:p>
      <w:pPr>
        <w:spacing w:after="60"/>
        <w:ind w:left="567" w:hanging="567"/>
      </w:pPr>
      <w:r>
        <w:rPr>
          <w:b/>
          <w:sz w:val="17"/>
        </w:rPr>
        <w:t xml:space="preserve">[4]  </w:t>
      </w:r>
      <w:r>
        <w:rPr>
          <w:sz w:val="17"/>
        </w:rPr>
        <w:t>Embretson, S. E., &amp; Reise, S. P. (2000). Item Response Theory for Psychologists. Lawrence Erlbaum.</w:t>
      </w:r>
    </w:p>
    <w:p>
      <w:pPr>
        <w:spacing w:after="60"/>
        <w:ind w:left="567" w:hanging="567"/>
      </w:pPr>
      <w:r>
        <w:rPr>
          <w:b/>
          <w:sz w:val="17"/>
        </w:rPr>
        <w:t xml:space="preserve">[5]  </w:t>
      </w:r>
      <w:r>
        <w:rPr>
          <w:sz w:val="17"/>
        </w:rPr>
        <w:t>Cronbach, L. J. (1951). Coefficient Alpha and the Internal Structure of Tests. Psychometrika 16, 297–334. https://doi.org/10.1007/BF02310555</w:t>
      </w:r>
    </w:p>
    <w:p>
      <w:pPr>
        <w:spacing w:after="60"/>
        <w:ind w:left="567" w:hanging="567"/>
      </w:pPr>
      <w:r>
        <w:rPr>
          <w:b/>
          <w:sz w:val="17"/>
        </w:rPr>
        <w:t xml:space="preserve">[6]  </w:t>
      </w:r>
      <w:r>
        <w:rPr>
          <w:sz w:val="17"/>
        </w:rPr>
        <w:t>McDonald, R. P. (1999). Test Theory: A Unified Treatment. Lawrence Erlbaum.</w:t>
      </w:r>
    </w:p>
    <w:p>
      <w:pPr>
        <w:spacing w:after="60"/>
        <w:ind w:left="567" w:hanging="567"/>
      </w:pPr>
      <w:r>
        <w:rPr>
          <w:b/>
          <w:sz w:val="17"/>
        </w:rPr>
        <w:t xml:space="preserve">[7]  </w:t>
      </w:r>
      <w:r>
        <w:rPr>
          <w:sz w:val="17"/>
        </w:rPr>
        <w:t>Nunnally, J. C. (1978). Psychometric Theory (2nd ed.). McGraw-Hill.</w:t>
      </w:r>
    </w:p>
    <w:p>
      <w:pPr>
        <w:spacing w:after="60"/>
        <w:ind w:left="567" w:hanging="567"/>
      </w:pPr>
      <w:r>
        <w:rPr>
          <w:b/>
          <w:sz w:val="17"/>
        </w:rPr>
        <w:t xml:space="preserve">[8]  </w:t>
      </w:r>
      <w:r>
        <w:rPr>
          <w:sz w:val="17"/>
        </w:rPr>
        <w:t>Nosek, B. A., et al. (2018). The Preregistration Revolution. PNAS 115(11), 2600–2606. https://doi.org/10.1073/pnas.1708274114</w:t>
      </w:r>
    </w:p>
    <w:p>
      <w:pPr>
        <w:spacing w:after="60"/>
        <w:ind w:left="567" w:hanging="567"/>
      </w:pPr>
      <w:r>
        <w:rPr>
          <w:b/>
          <w:sz w:val="17"/>
        </w:rPr>
        <w:t xml:space="preserve">[9]  </w:t>
      </w:r>
      <w:r>
        <w:rPr>
          <w:sz w:val="17"/>
        </w:rPr>
        <w:t>Open Science Collaboration (2015). Estimating the Reproducibility of Psychological Science. Science 349(6251), aac4716. https://doi.org/10.1126/science.aac4716</w:t>
      </w:r>
    </w:p>
    <w:p>
      <w:pPr>
        <w:spacing w:after="60"/>
        <w:ind w:left="567" w:hanging="567"/>
      </w:pPr>
      <w:r>
        <w:rPr>
          <w:b/>
          <w:sz w:val="17"/>
        </w:rPr>
        <w:t xml:space="preserve">[10]  </w:t>
      </w:r>
      <w:r>
        <w:rPr>
          <w:sz w:val="17"/>
        </w:rPr>
        <w:t>Munafò, M. R., et al. (2017). A Manifesto for Reproducible Science. Nature Human Behaviour 1, 0021. https://doi.org/10.1038/s41562-016-0021</w:t>
      </w:r>
    </w:p>
    <w:p>
      <w:pPr>
        <w:spacing w:after="60"/>
        <w:ind w:left="567" w:hanging="567"/>
      </w:pPr>
      <w:r>
        <w:rPr>
          <w:b/>
          <w:sz w:val="17"/>
        </w:rPr>
        <w:t xml:space="preserve">[11]  </w:t>
      </w:r>
      <w:r>
        <w:rPr>
          <w:sz w:val="17"/>
        </w:rPr>
        <w:t>Page, M. J., et al. (2021). The PRISMA 2020 Statement. BMJ 372, n71. https://doi.org/10.1136/bmj.n71</w:t>
      </w:r>
    </w:p>
    <w:p>
      <w:pPr>
        <w:spacing w:after="60"/>
        <w:ind w:left="567" w:hanging="567"/>
      </w:pPr>
      <w:r>
        <w:rPr>
          <w:b/>
          <w:sz w:val="17"/>
        </w:rPr>
        <w:t xml:space="preserve">[12]  </w:t>
      </w:r>
      <w:r>
        <w:rPr>
          <w:sz w:val="17"/>
        </w:rPr>
        <w:t>Tricco, A. C., et al. (2018). PRISMA Extension for Scoping Reviews (PRISMA-ScR). Annals of Internal Medicine 169(7), 467–473. https://doi.org/10.7326/M18-0850</w:t>
      </w:r>
    </w:p>
    <w:p>
      <w:pPr>
        <w:spacing w:after="60"/>
        <w:ind w:left="567" w:hanging="567"/>
      </w:pPr>
      <w:r>
        <w:rPr>
          <w:b/>
          <w:sz w:val="17"/>
        </w:rPr>
        <w:t xml:space="preserve">[13]  </w:t>
      </w:r>
      <w:r>
        <w:rPr>
          <w:sz w:val="17"/>
        </w:rPr>
        <w:t>Manheim, C., et al. (2019). Improving the Delphi Method. RAND Corporation. https://www.rand.org/pubs/</w:t>
      </w:r>
    </w:p>
    <w:p>
      <w:pPr>
        <w:spacing w:after="60"/>
        <w:ind w:left="567" w:hanging="567"/>
      </w:pPr>
      <w:r>
        <w:rPr>
          <w:b/>
          <w:sz w:val="17"/>
        </w:rPr>
        <w:t xml:space="preserve">[14]  </w:t>
      </w:r>
      <w:r>
        <w:rPr>
          <w:sz w:val="17"/>
        </w:rPr>
        <w:t>Linstone, H. A., &amp; Turoff, M. (Eds.) (1975). The Delphi Method: Techniques and Applications. Addison-Wesley.</w:t>
      </w:r>
    </w:p>
    <w:p>
      <w:pPr>
        <w:spacing w:after="60"/>
        <w:ind w:left="567" w:hanging="567"/>
      </w:pPr>
      <w:r>
        <w:rPr>
          <w:b/>
          <w:sz w:val="17"/>
        </w:rPr>
        <w:t xml:space="preserve">[15]  </w:t>
      </w:r>
      <w:r>
        <w:rPr>
          <w:sz w:val="17"/>
        </w:rPr>
        <w:t>European Federation of Psychologists' Associations (2013). EFPA Review Model for the Description and Evaluation of Psychological Tests. https://www.efpa.eu/</w:t>
      </w:r>
    </w:p>
    <w:p>
      <w:pPr>
        <w:spacing w:after="60"/>
        <w:ind w:left="567" w:hanging="567"/>
      </w:pPr>
      <w:r>
        <w:rPr>
          <w:b/>
          <w:sz w:val="17"/>
        </w:rPr>
        <w:t xml:space="preserve">[16]  </w:t>
      </w:r>
      <w:r>
        <w:rPr>
          <w:sz w:val="17"/>
        </w:rPr>
        <w:t>International Test Commission (2017). The ITC Guidelines for Translating and Adapting Tests (2nd ed.). https://www.intestcom.org/</w:t>
      </w:r>
    </w:p>
    <w:p>
      <w:pPr>
        <w:spacing w:after="60"/>
        <w:ind w:left="567" w:hanging="567"/>
      </w:pPr>
      <w:r>
        <w:rPr>
          <w:b/>
          <w:sz w:val="17"/>
        </w:rPr>
        <w:t xml:space="preserve">[17]  </w:t>
      </w:r>
      <w:r>
        <w:rPr>
          <w:sz w:val="17"/>
        </w:rPr>
        <w:t>NIST (2023). Artificial Intelligence Risk Management Framework (AI RMF 1.0). NIST AI 100-1. https://doi.org/10.6028/NIST.AI.100-1</w:t>
      </w:r>
    </w:p>
    <w:p>
      <w:pPr>
        <w:spacing w:after="60"/>
        <w:ind w:left="567" w:hanging="567"/>
      </w:pPr>
      <w:r>
        <w:rPr>
          <w:b/>
          <w:sz w:val="17"/>
        </w:rPr>
        <w:t xml:space="preserve">[18]  </w:t>
      </w:r>
      <w:r>
        <w:rPr>
          <w:sz w:val="17"/>
        </w:rPr>
        <w:t>NIST (2024). Artificial Intelligence Risk Management Framework: Generative Artificial Intelligence Profile. NIST AI 600-1. https://doi.org/10.6028/NIST.AI.600-1</w:t>
      </w:r>
    </w:p>
    <w:p>
      <w:pPr>
        <w:spacing w:after="60"/>
        <w:ind w:left="567" w:hanging="567"/>
      </w:pPr>
      <w:r>
        <w:rPr>
          <w:b/>
          <w:sz w:val="17"/>
        </w:rPr>
        <w:t xml:space="preserve">[19]  </w:t>
      </w:r>
      <w:r>
        <w:rPr>
          <w:sz w:val="17"/>
        </w:rPr>
        <w:t>ISO/IEC 42001:2023. Information technology — Artificial intelligence — Management system. https://www.iso.org/standard/81230.html</w:t>
      </w:r>
    </w:p>
    <w:p>
      <w:pPr>
        <w:spacing w:after="60"/>
        <w:ind w:left="567" w:hanging="567"/>
      </w:pPr>
      <w:r>
        <w:rPr>
          <w:b/>
          <w:sz w:val="17"/>
        </w:rPr>
        <w:t xml:space="preserve">[20]  </w:t>
      </w:r>
      <w:r>
        <w:rPr>
          <w:sz w:val="17"/>
        </w:rPr>
        <w:t>ISO/IEC 42005:2025. Information technology — Artificial intelligence — AI system impact assessment. https://www.iso.org/standard/44545.html</w:t>
      </w:r>
    </w:p>
    <w:p>
      <w:pPr>
        <w:spacing w:after="60"/>
        <w:ind w:left="567" w:hanging="567"/>
      </w:pPr>
      <w:r>
        <w:rPr>
          <w:b/>
          <w:sz w:val="17"/>
        </w:rPr>
        <w:t xml:space="preserve">[21]  </w:t>
      </w:r>
      <w:r>
        <w:rPr>
          <w:sz w:val="17"/>
        </w:rPr>
        <w:t>ISO/IEC 23894:2023. Information technology — Artificial intelligence — Guidance on risk management. https://www.iso.org/standard/77304.html</w:t>
      </w:r>
    </w:p>
    <w:p>
      <w:pPr>
        <w:spacing w:after="60"/>
        <w:ind w:left="567" w:hanging="567"/>
      </w:pPr>
      <w:r>
        <w:rPr>
          <w:b/>
          <w:sz w:val="17"/>
        </w:rPr>
        <w:t xml:space="preserve">[22]  </w:t>
      </w:r>
      <w:r>
        <w:rPr>
          <w:sz w:val="17"/>
        </w:rPr>
        <w:t>European Union (2024). Regulation (EU) 2024/1689 (Artificial Intelligence Act). Official Journal of the European Union. https://eur-lex.europa.eu/eli/reg/2024/1689</w:t>
      </w:r>
    </w:p>
    <w:p>
      <w:pPr>
        <w:spacing w:after="60"/>
        <w:ind w:left="567" w:hanging="567"/>
      </w:pPr>
      <w:r>
        <w:rPr>
          <w:b/>
          <w:sz w:val="17"/>
        </w:rPr>
        <w:t xml:space="preserve">[23]  </w:t>
      </w:r>
      <w:r>
        <w:rPr>
          <w:sz w:val="17"/>
        </w:rPr>
        <w:t>CEN-CENELEC JTC 21. Artificial Intelligence standardisation committee (European standards supporting the AI Act). https://jtc21.eu/</w:t>
      </w:r>
    </w:p>
    <w:p>
      <w:pPr>
        <w:spacing w:after="60"/>
        <w:ind w:left="567" w:hanging="567"/>
      </w:pPr>
      <w:r>
        <w:rPr>
          <w:b/>
          <w:sz w:val="17"/>
        </w:rPr>
        <w:t xml:space="preserve">[24]  </w:t>
      </w:r>
      <w:r>
        <w:rPr>
          <w:sz w:val="17"/>
        </w:rPr>
        <w:t>Wilkinson, M. D., et al. (2016). The FAIR Guiding Principles for Scientific Data Management and Stewardship. Scientific Data 3, 160018. https://doi.org/10.1038/sdata.2016.18</w:t>
      </w:r>
    </w:p>
    <w:p>
      <w:pPr>
        <w:spacing w:after="60"/>
        <w:ind w:left="567" w:hanging="567"/>
      </w:pPr>
      <w:r>
        <w:rPr>
          <w:b/>
          <w:sz w:val="17"/>
        </w:rPr>
        <w:t xml:space="preserve">[25]  </w:t>
      </w:r>
      <w:r>
        <w:rPr>
          <w:sz w:val="17"/>
        </w:rPr>
        <w:t>ISO/IEC 27001:2022. Information security management systems. https://www.iso.org/standard/27001</w:t>
      </w:r>
    </w:p>
    <w:p>
      <w:pPr>
        <w:spacing w:after="60"/>
        <w:ind w:left="567" w:hanging="567"/>
      </w:pPr>
      <w:r>
        <w:rPr>
          <w:b/>
          <w:sz w:val="17"/>
        </w:rPr>
        <w:t xml:space="preserve">[26]  </w:t>
      </w:r>
      <w:r>
        <w:rPr>
          <w:sz w:val="17"/>
        </w:rPr>
        <w:t>OpenSSF (2023). SLSA: Supply-chain Levels for Software Artifacts. https://slsa.dev/</w:t>
      </w:r>
    </w:p>
    <w:p>
      <w:pPr>
        <w:spacing w:after="60"/>
        <w:ind w:left="567" w:hanging="567"/>
      </w:pPr>
      <w:r>
        <w:rPr>
          <w:b/>
          <w:sz w:val="17"/>
        </w:rPr>
        <w:t xml:space="preserve">[27]  </w:t>
      </w:r>
      <w:r>
        <w:rPr>
          <w:sz w:val="17"/>
        </w:rPr>
        <w:t>Mitchell, M., et al. (2019). Model Cards for Model Reporting. FAT* '19, 220–229. https://doi.org/10.1145/3287560.3287596</w:t>
      </w:r>
    </w:p>
    <w:p>
      <w:pPr>
        <w:spacing w:after="60"/>
        <w:ind w:left="567" w:hanging="567"/>
      </w:pPr>
      <w:r>
        <w:rPr>
          <w:b/>
          <w:sz w:val="17"/>
        </w:rPr>
        <w:t xml:space="preserve">[28]  </w:t>
      </w:r>
      <w:r>
        <w:rPr>
          <w:sz w:val="17"/>
        </w:rPr>
        <w:t>Gebru, T., et al. (2021). Datasheets for Datasets. Communications of the ACM 64(12), 86–92. https://doi.org/10.1145/3458723</w:t>
      </w:r>
    </w:p>
    <w:p>
      <w:pPr>
        <w:spacing w:after="60"/>
        <w:ind w:left="567" w:hanging="567"/>
      </w:pPr>
      <w:r>
        <w:rPr>
          <w:b/>
          <w:sz w:val="17"/>
        </w:rPr>
        <w:t xml:space="preserve">[29]  </w:t>
      </w:r>
      <w:r>
        <w:rPr>
          <w:sz w:val="17"/>
        </w:rPr>
        <w:t>Gray, M. L., &amp; Suri, S. (2019). Ghost Work: How to Stop Silicon Valley from Building a New Global Underclass. Houghton Mifflin.</w:t>
      </w:r>
    </w:p>
    <w:p>
      <w:pPr>
        <w:spacing w:after="60"/>
        <w:ind w:left="567" w:hanging="567"/>
      </w:pPr>
      <w:r>
        <w:rPr>
          <w:b/>
          <w:sz w:val="17"/>
        </w:rPr>
        <w:t xml:space="preserve">[30]  </w:t>
      </w:r>
      <w:r>
        <w:rPr>
          <w:sz w:val="17"/>
        </w:rPr>
        <w:t>Perrigo, B. (2023). Exclusive: OpenAI Used Kenyan Workers on Less Than $2 per Hour to Make ChatGPT Less Toxic. TIME. https://time.com/6247678/openai-chatgpt-kenya-workers/</w:t>
      </w:r>
    </w:p>
    <w:p>
      <w:pPr>
        <w:spacing w:after="60"/>
        <w:ind w:left="567" w:hanging="567"/>
      </w:pPr>
      <w:r>
        <w:rPr>
          <w:b/>
          <w:sz w:val="17"/>
        </w:rPr>
        <w:t xml:space="preserve">[31]  </w:t>
      </w:r>
      <w:r>
        <w:rPr>
          <w:sz w:val="17"/>
        </w:rPr>
        <w:t>Betley, J., et al. (2025). Emergent Misalignment: Narrow finetuning can produce broadly misaligned LLMs. arXiv:2502.17424. https://arxiv.org/abs/2502.17424</w:t>
      </w:r>
    </w:p>
    <w:p>
      <w:pPr>
        <w:spacing w:after="60"/>
        <w:ind w:left="567" w:hanging="567"/>
      </w:pPr>
      <w:r>
        <w:rPr>
          <w:b/>
          <w:sz w:val="17"/>
        </w:rPr>
        <w:t xml:space="preserve">[32]  </w:t>
      </w:r>
      <w:r>
        <w:rPr>
          <w:sz w:val="17"/>
        </w:rPr>
        <w:t>Hubinger, E., et al. (2024). Sleeper Agents: Training Deceptive LLMs that Persist Through Safety Training. arXiv:2401.05566. https://arxiv.org/abs/2401.05566</w:t>
      </w:r>
    </w:p>
    <w:p>
      <w:pPr>
        <w:spacing w:after="60"/>
        <w:ind w:left="567" w:hanging="567"/>
      </w:pPr>
      <w:r>
        <w:rPr>
          <w:b/>
          <w:sz w:val="17"/>
        </w:rPr>
        <w:t xml:space="preserve">[33]  </w:t>
      </w:r>
      <w:r>
        <w:rPr>
          <w:sz w:val="17"/>
        </w:rPr>
        <w:t>Long, R., et al. (2024). Taking AI Welfare Seriously. arXiv:2411.00986. https://arxiv.org/abs/2411.00986</w:t>
      </w:r>
    </w:p>
    <w:sectPr w:rsidR="00FC693F" w:rsidRPr="0006063C" w:rsidSect="00034616">
      <w:headerReference w:type="default" r:id="rId12"/>
      <w:footerReference w:type="default" r:id="rId13"/>
      <w:pgSz w:w="11906" w:h="16838"/>
      <w:pgMar w:top="1191" w:right="1134" w:bottom="964" w:left="1134" w:header="0" w:footer="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7"/>
      </w:rPr>
      <w:fldChar w:fldCharType="begin"/>
    </w:r>
    <w:r>
      <w:rPr>
        <w:color w:val="666666"/>
        <w:sz w:val="17"/>
      </w:rPr>
      <w:instrText xml:space="preserve"> PAGE </w:instrText>
    </w:r>
    <w:r>
      <w:rPr>
        <w:color w:val="666666"/>
        <w:sz w:val="17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669"/>
      <w:gridCol w:w="3969"/>
    </w:tblGrid>
    <w:tr>
      <w:tc>
        <w:tcPr>
          <w:tcW w:type="dxa" w:w="4819"/>
          <w:vAlign w:val="center"/>
        </w:tcPr>
        <w:p>
          <w:r>
            <w:rPr>
              <w:b/>
              <w:color w:val="14443C"/>
              <w:sz w:val="17"/>
            </w:rPr>
            <w:t>AI-DSM</w:t>
          </w:r>
          <w:r>
            <w:rPr>
              <w:color w:val="666666"/>
              <w:sz w:val="17"/>
            </w:rPr>
            <w:t xml:space="preserve">  ·  Project Plan</w:t>
          </w:r>
        </w:p>
      </w:tc>
      <w:tc>
        <w:tcPr>
          <w:tcW w:type="dxa" w:w="4819"/>
          <w:vAlign w:val="center"/>
        </w:tcPr>
        <w:p>
          <w:pPr>
            <w:jc w:val="right"/>
          </w:pPr>
          <w:r>
            <w:rPr>
              <w:color w:val="666666"/>
              <w:sz w:val="17"/>
            </w:rPr>
            <w:t>v1.0 · September 2026</w:t>
          </w:r>
        </w:p>
      </w:tc>
    </w:tr>
  </w:tbl>
  <w:p>
    <w:pPr>
      <w:spacing w:before="0" w:after="0"/>
      <w:pBdr>
        <w:bottom w:val="single" w:sz="6" w:space="1" w:color="E8A13D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/>
    </w:pPr>
    <w:rPr>
      <w:rFonts w:ascii="Carlito" w:hAnsi="Carlito" w:cs="Carlito" w:eastAsia="Carlito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40"/>
      <w:outlineLvl w:val="0"/>
    </w:pPr>
    <w:rPr>
      <w:rFonts w:asciiTheme="majorHAnsi" w:eastAsiaTheme="majorEastAsia" w:hAnsiTheme="majorHAnsi" w:cstheme="majorBidi" w:ascii="Carlito" w:hAnsi="Carlito" w:cs="Carlito" w:eastAsia="Carlito"/>
      <w:b/>
      <w:bCs/>
      <w:color w:val="1444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 w:ascii="Carlito" w:hAnsi="Carlito" w:cs="Carlito" w:eastAsia="Carlito"/>
      <w:b/>
      <w:bCs/>
      <w:color w:val="14443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20"/>
      <w:outlineLvl w:val="2"/>
    </w:pPr>
    <w:rPr>
      <w:rFonts w:asciiTheme="majorHAnsi" w:eastAsiaTheme="majorEastAsia" w:hAnsiTheme="majorHAnsi" w:cstheme="majorBidi" w:ascii="Carlito" w:hAnsi="Carlito" w:cs="Carlito" w:eastAsia="Carlito"/>
      <w:b/>
      <w:bCs/>
      <w:color w:val="1444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