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drawing>
          <wp:inline xmlns:a="http://schemas.openxmlformats.org/drawingml/2006/main" xmlns:pic="http://schemas.openxmlformats.org/drawingml/2006/picture">
            <wp:extent cx="7552800" cy="10677600"/>
            <wp:docPr id="1" name="Picture 1"/>
            <wp:cNvGraphicFramePr>
              <a:graphicFrameLocks noChangeAspect="1"/>
            </wp:cNvGraphicFramePr>
            <a:graphic>
              <a:graphicData uri="http://schemas.openxmlformats.org/drawingml/2006/picture">
                <pic:pic>
                  <pic:nvPicPr>
                    <pic:cNvPr id="0" name="cover_plan.png"/>
                    <pic:cNvPicPr/>
                  </pic:nvPicPr>
                  <pic:blipFill>
                    <a:blip r:embed="rId11"/>
                    <a:stretch>
                      <a:fillRect/>
                    </a:stretch>
                  </pic:blipFill>
                  <pic:spPr>
                    <a:xfrm>
                      <a:off x="0" y="0"/>
                      <a:ext cx="7552800" cy="10677600"/>
                    </a:xfrm>
                    <a:prstGeom prst="rect"/>
                  </pic:spPr>
                </pic:pic>
              </a:graphicData>
            </a:graphic>
          </wp:inline>
        </w:drawing>
      </w:r>
    </w:p>
    <w:p>
      <w:pPr>
        <w:sectPr>
          <w:headerReference w:type="default" r:id="rId9"/>
          <w:footerReference w:type="default" r:id="rId10"/>
          <w:pgSz w:w="11906" w:h="16838"/>
          <w:pgMar w:top="0" w:right="0" w:bottom="0" w:left="0" w:header="0" w:footer="0" w:gutter="0"/>
          <w:cols w:space="720"/>
          <w:docGrid w:linePitch="360"/>
        </w:sectPr>
      </w:pPr>
    </w:p>
    <w:p>
      <w:pPr>
        <w:pStyle w:val="Heading1"/>
      </w:pPr>
      <w:r>
        <w:t>Contents</w:t>
      </w:r>
    </w:p>
    <w:p>
      <w:pPr>
        <w:spacing w:before="0" w:after="140" w:line="40" w:lineRule="exact"/>
        <w:pBdr>
          <w:bottom w:val="single" w:sz="16" w:space="0" w:color="E8A13D"/>
        </w:pBdr>
      </w:pPr>
      <w:r>
        <w:rPr>
          <w:sz w:val="2"/>
        </w:rPr>
      </w:r>
    </w:p>
    <w:p>
      <w:r>
        <w:fldChar w:fldCharType="begin"/>
      </w:r>
      <w:r>
        <w:instrText xml:space="preserve"> TOC \o "1-3" \h \z \u </w:instrText>
      </w:r>
      <w:r>
        <w:fldChar w:fldCharType="separate"/>
      </w:r>
      <w:pPr>
        <w:tabs>
          <w:tab w:pos="9638" w:val="right" w:leader="dot"/>
        </w:tabs>
        <w:spacing w:after="30"/>
      </w:pPr>
      <w:r>
        <w:rPr>
          <w:b/>
          <w:color w:val="14443C"/>
          <w:sz w:val="18"/>
        </w:rPr>
        <w:t>1. How to read this plan</w:t>
      </w:r>
      <w:r>
        <w:rPr>
          <w:color w:val="444444"/>
          <w:sz w:val="18"/>
        </w:rPr>
        <w:tab/>
        <w:t>3</w:t>
      </w:r>
    </w:p>
    <w:p>
      <w:pPr>
        <w:tabs>
          <w:tab w:pos="9638" w:val="right" w:leader="dot"/>
        </w:tabs>
        <w:spacing w:after="30"/>
        <w:ind w:left="312"/>
      </w:pPr>
      <w:r>
        <w:rPr>
          <w:b w:val="0"/>
          <w:color w:val="333333"/>
          <w:sz w:val="17"/>
        </w:rPr>
        <w:t>1.1 What changed in v1.1</w:t>
      </w:r>
      <w:r>
        <w:rPr>
          <w:color w:val="444444"/>
          <w:sz w:val="17"/>
        </w:rPr>
        <w:tab/>
        <w:t>3</w:t>
      </w:r>
    </w:p>
    <w:p>
      <w:pPr>
        <w:tabs>
          <w:tab w:pos="9638" w:val="right" w:leader="dot"/>
        </w:tabs>
        <w:spacing w:after="30"/>
        <w:ind w:left="312"/>
      </w:pPr>
      <w:r>
        <w:rPr>
          <w:b w:val="0"/>
          <w:color w:val="333333"/>
          <w:sz w:val="17"/>
        </w:rPr>
        <w:t>1.2 How to read a number in this plan</w:t>
      </w:r>
      <w:r>
        <w:rPr>
          <w:color w:val="444444"/>
          <w:sz w:val="17"/>
        </w:rPr>
        <w:tab/>
        <w:t>4</w:t>
      </w:r>
    </w:p>
    <w:p>
      <w:pPr>
        <w:tabs>
          <w:tab w:pos="9638" w:val="right" w:leader="dot"/>
        </w:tabs>
        <w:spacing w:after="30"/>
        <w:ind w:left="312"/>
      </w:pPr>
      <w:r>
        <w:rPr>
          <w:b w:val="0"/>
          <w:color w:val="333333"/>
          <w:sz w:val="17"/>
        </w:rPr>
        <w:t>1.3 The pilot data the programme actually holds</w:t>
      </w:r>
      <w:r>
        <w:rPr>
          <w:color w:val="444444"/>
          <w:sz w:val="17"/>
        </w:rPr>
        <w:tab/>
        <w:t>4</w:t>
      </w:r>
    </w:p>
    <w:p>
      <w:pPr>
        <w:tabs>
          <w:tab w:pos="9638" w:val="right" w:leader="dot"/>
        </w:tabs>
        <w:spacing w:after="30"/>
      </w:pPr>
      <w:r>
        <w:rPr>
          <w:b/>
          <w:color w:val="14443C"/>
          <w:sz w:val="18"/>
        </w:rPr>
        <w:t>2. Project statement</w:t>
      </w:r>
      <w:r>
        <w:rPr>
          <w:color w:val="444444"/>
          <w:sz w:val="18"/>
        </w:rPr>
        <w:tab/>
        <w:t>4</w:t>
      </w:r>
    </w:p>
    <w:p>
      <w:pPr>
        <w:tabs>
          <w:tab w:pos="9638" w:val="right" w:leader="dot"/>
        </w:tabs>
        <w:spacing w:after="30"/>
        <w:ind w:left="312"/>
      </w:pPr>
      <w:r>
        <w:rPr>
          <w:b w:val="0"/>
          <w:color w:val="333333"/>
          <w:sz w:val="17"/>
        </w:rPr>
        <w:t>2.1 Scope</w:t>
      </w:r>
      <w:r>
        <w:rPr>
          <w:color w:val="444444"/>
          <w:sz w:val="17"/>
        </w:rPr>
        <w:tab/>
        <w:t>4</w:t>
      </w:r>
    </w:p>
    <w:p>
      <w:pPr>
        <w:tabs>
          <w:tab w:pos="9638" w:val="right" w:leader="dot"/>
        </w:tabs>
        <w:spacing w:after="30"/>
        <w:ind w:left="312"/>
      </w:pPr>
      <w:r>
        <w:rPr>
          <w:b w:val="0"/>
          <w:color w:val="333333"/>
          <w:sz w:val="17"/>
        </w:rPr>
        <w:t>2.2 Out of scope</w:t>
      </w:r>
      <w:r>
        <w:rPr>
          <w:color w:val="444444"/>
          <w:sz w:val="17"/>
        </w:rPr>
        <w:tab/>
        <w:t>5</w:t>
      </w:r>
    </w:p>
    <w:p>
      <w:pPr>
        <w:tabs>
          <w:tab w:pos="9638" w:val="right" w:leader="dot"/>
        </w:tabs>
        <w:spacing w:after="30"/>
        <w:ind w:left="312"/>
      </w:pPr>
      <w:r>
        <w:rPr>
          <w:b w:val="0"/>
          <w:color w:val="333333"/>
          <w:sz w:val="17"/>
        </w:rPr>
        <w:t>2.3 Success criteria</w:t>
      </w:r>
      <w:r>
        <w:rPr>
          <w:color w:val="444444"/>
          <w:sz w:val="17"/>
        </w:rPr>
        <w:tab/>
        <w:t>5</w:t>
      </w:r>
    </w:p>
    <w:p>
      <w:pPr>
        <w:tabs>
          <w:tab w:pos="9638" w:val="right" w:leader="dot"/>
        </w:tabs>
        <w:spacing w:after="30"/>
      </w:pPr>
      <w:r>
        <w:rPr>
          <w:b/>
          <w:color w:val="14443C"/>
          <w:sz w:val="18"/>
        </w:rPr>
        <w:t>3. Deliverable catalogue</w:t>
      </w:r>
      <w:r>
        <w:rPr>
          <w:color w:val="444444"/>
          <w:sz w:val="18"/>
        </w:rPr>
        <w:tab/>
        <w:t>6</w:t>
      </w:r>
    </w:p>
    <w:p>
      <w:pPr>
        <w:tabs>
          <w:tab w:pos="9638" w:val="right" w:leader="dot"/>
        </w:tabs>
        <w:spacing w:after="30"/>
        <w:ind w:left="312"/>
      </w:pPr>
      <w:r>
        <w:rPr>
          <w:b w:val="0"/>
          <w:color w:val="333333"/>
          <w:sz w:val="17"/>
        </w:rPr>
        <w:t>3.1 New work in v1.1 and the deliverables that carry it</w:t>
      </w:r>
      <w:r>
        <w:rPr>
          <w:color w:val="444444"/>
          <w:sz w:val="17"/>
        </w:rPr>
        <w:tab/>
        <w:t>7</w:t>
      </w:r>
    </w:p>
    <w:p>
      <w:pPr>
        <w:tabs>
          <w:tab w:pos="9638" w:val="right" w:leader="dot"/>
        </w:tabs>
        <w:spacing w:after="30"/>
      </w:pPr>
      <w:r>
        <w:rPr>
          <w:b/>
          <w:color w:val="14443C"/>
          <w:sz w:val="18"/>
        </w:rPr>
        <w:t>4. Schedule</w:t>
      </w:r>
      <w:r>
        <w:rPr>
          <w:color w:val="444444"/>
          <w:sz w:val="18"/>
        </w:rPr>
        <w:tab/>
        <w:t>9</w:t>
      </w:r>
    </w:p>
    <w:p>
      <w:pPr>
        <w:tabs>
          <w:tab w:pos="9638" w:val="right" w:leader="dot"/>
        </w:tabs>
        <w:spacing w:after="30"/>
        <w:ind w:left="312"/>
      </w:pPr>
      <w:r>
        <w:rPr>
          <w:b w:val="0"/>
          <w:color w:val="333333"/>
          <w:sz w:val="17"/>
        </w:rPr>
        <w:t>4.1 Scenario timelines</w:t>
      </w:r>
      <w:r>
        <w:rPr>
          <w:color w:val="444444"/>
          <w:sz w:val="17"/>
        </w:rPr>
        <w:tab/>
        <w:t>9</w:t>
      </w:r>
    </w:p>
    <w:p>
      <w:pPr>
        <w:tabs>
          <w:tab w:pos="9638" w:val="right" w:leader="dot"/>
        </w:tabs>
        <w:spacing w:after="30"/>
        <w:ind w:left="312"/>
      </w:pPr>
      <w:r>
        <w:rPr>
          <w:b w:val="0"/>
          <w:color w:val="333333"/>
          <w:sz w:val="17"/>
        </w:rPr>
        <w:t>4.2 Critical path and what blocks what</w:t>
      </w:r>
      <w:r>
        <w:rPr>
          <w:color w:val="444444"/>
          <w:sz w:val="17"/>
        </w:rPr>
        <w:tab/>
        <w:t>10</w:t>
      </w:r>
    </w:p>
    <w:p>
      <w:pPr>
        <w:tabs>
          <w:tab w:pos="9638" w:val="right" w:leader="dot"/>
        </w:tabs>
        <w:spacing w:after="30"/>
        <w:ind w:left="312"/>
      </w:pPr>
      <w:r>
        <w:rPr>
          <w:b w:val="0"/>
          <w:color w:val="333333"/>
          <w:sz w:val="17"/>
        </w:rPr>
        <w:t>4.3 The earliest date this programme could start</w:t>
      </w:r>
      <w:r>
        <w:rPr>
          <w:color w:val="444444"/>
          <w:sz w:val="17"/>
        </w:rPr>
        <w:tab/>
        <w:t>11</w:t>
      </w:r>
    </w:p>
    <w:p>
      <w:pPr>
        <w:tabs>
          <w:tab w:pos="9638" w:val="right" w:leader="dot"/>
        </w:tabs>
        <w:spacing w:after="30"/>
        <w:ind w:left="312"/>
      </w:pPr>
      <w:r>
        <w:rPr>
          <w:b w:val="0"/>
          <w:color w:val="333333"/>
          <w:sz w:val="17"/>
        </w:rPr>
        <w:t>4.4 Task schedule by workstream (Core scenario)</w:t>
      </w:r>
      <w:r>
        <w:rPr>
          <w:color w:val="444444"/>
          <w:sz w:val="17"/>
        </w:rPr>
        <w:tab/>
        <w:t>12</w:t>
      </w:r>
    </w:p>
    <w:p>
      <w:pPr>
        <w:tabs>
          <w:tab w:pos="9638" w:val="right" w:leader="dot"/>
        </w:tabs>
        <w:spacing w:after="30"/>
        <w:ind w:left="312"/>
      </w:pPr>
      <w:r>
        <w:rPr>
          <w:b w:val="0"/>
          <w:color w:val="333333"/>
          <w:sz w:val="17"/>
        </w:rPr>
        <w:t>4.5 What a reviewer will ask about the schedule</w:t>
      </w:r>
      <w:r>
        <w:rPr>
          <w:color w:val="444444"/>
          <w:sz w:val="17"/>
        </w:rPr>
        <w:tab/>
        <w:t>16</w:t>
      </w:r>
    </w:p>
    <w:p>
      <w:pPr>
        <w:tabs>
          <w:tab w:pos="9638" w:val="right" w:leader="dot"/>
        </w:tabs>
        <w:spacing w:after="30"/>
      </w:pPr>
      <w:r>
        <w:rPr>
          <w:b/>
          <w:color w:val="14443C"/>
          <w:sz w:val="18"/>
        </w:rPr>
        <w:t>5. Team, rates and resources</w:t>
      </w:r>
      <w:r>
        <w:rPr>
          <w:color w:val="444444"/>
          <w:sz w:val="18"/>
        </w:rPr>
        <w:tab/>
        <w:t>17</w:t>
      </w:r>
    </w:p>
    <w:p>
      <w:pPr>
        <w:tabs>
          <w:tab w:pos="9638" w:val="right" w:leader="dot"/>
        </w:tabs>
        <w:spacing w:after="30"/>
        <w:ind w:left="312"/>
      </w:pPr>
      <w:r>
        <w:rPr>
          <w:b w:val="0"/>
          <w:color w:val="333333"/>
          <w:sz w:val="17"/>
        </w:rPr>
        <w:t>5.1 Roles and rates</w:t>
      </w:r>
      <w:r>
        <w:rPr>
          <w:color w:val="444444"/>
          <w:sz w:val="17"/>
        </w:rPr>
        <w:tab/>
        <w:t>17</w:t>
      </w:r>
    </w:p>
    <w:p>
      <w:pPr>
        <w:tabs>
          <w:tab w:pos="9638" w:val="right" w:leader="dot"/>
        </w:tabs>
        <w:spacing w:after="30"/>
        <w:ind w:left="312"/>
      </w:pPr>
      <w:r>
        <w:rPr>
          <w:b w:val="0"/>
          <w:color w:val="333333"/>
          <w:sz w:val="17"/>
        </w:rPr>
        <w:t>5.2 Resource model by scenario</w:t>
      </w:r>
      <w:r>
        <w:rPr>
          <w:color w:val="444444"/>
          <w:sz w:val="17"/>
        </w:rPr>
        <w:tab/>
        <w:t>17</w:t>
      </w:r>
    </w:p>
    <w:p>
      <w:pPr>
        <w:tabs>
          <w:tab w:pos="9638" w:val="right" w:leader="dot"/>
        </w:tabs>
        <w:spacing w:after="30"/>
        <w:ind w:left="312"/>
      </w:pPr>
      <w:r>
        <w:rPr>
          <w:b w:val="0"/>
          <w:color w:val="333333"/>
          <w:sz w:val="17"/>
        </w:rPr>
        <w:t>5.3 Staffing plan (FTE by year, Core scenario)</w:t>
      </w:r>
      <w:r>
        <w:rPr>
          <w:color w:val="444444"/>
          <w:sz w:val="17"/>
        </w:rPr>
        <w:tab/>
        <w:t>18</w:t>
      </w:r>
    </w:p>
    <w:p>
      <w:pPr>
        <w:tabs>
          <w:tab w:pos="9638" w:val="right" w:leader="dot"/>
        </w:tabs>
        <w:spacing w:after="30"/>
        <w:ind w:left="312"/>
      </w:pPr>
      <w:r>
        <w:rPr>
          <w:b w:val="0"/>
          <w:color w:val="333333"/>
          <w:sz w:val="17"/>
        </w:rPr>
        <w:t>5.4 Reconciliation: what each cost line implies per FTE-year</w:t>
      </w:r>
      <w:r>
        <w:rPr>
          <w:color w:val="444444"/>
          <w:sz w:val="17"/>
        </w:rPr>
        <w:tab/>
        <w:t>18</w:t>
      </w:r>
    </w:p>
    <w:p>
      <w:pPr>
        <w:tabs>
          <w:tab w:pos="9638" w:val="right" w:leader="dot"/>
        </w:tabs>
        <w:spacing w:after="30"/>
      </w:pPr>
      <w:r>
        <w:rPr>
          <w:b/>
          <w:color w:val="14443C"/>
          <w:sz w:val="18"/>
        </w:rPr>
        <w:t>6. Cost estimation</w:t>
      </w:r>
      <w:r>
        <w:rPr>
          <w:color w:val="444444"/>
          <w:sz w:val="18"/>
        </w:rPr>
        <w:tab/>
        <w:t>19</w:t>
      </w:r>
    </w:p>
    <w:p>
      <w:pPr>
        <w:tabs>
          <w:tab w:pos="9638" w:val="right" w:leader="dot"/>
        </w:tabs>
        <w:spacing w:after="30"/>
        <w:ind w:left="312"/>
      </w:pPr>
      <w:r>
        <w:rPr>
          <w:b w:val="0"/>
          <w:color w:val="333333"/>
          <w:sz w:val="17"/>
        </w:rPr>
        <w:t>6.1 Scenario totals</w:t>
      </w:r>
      <w:r>
        <w:rPr>
          <w:color w:val="444444"/>
          <w:sz w:val="17"/>
        </w:rPr>
        <w:tab/>
        <w:t>19</w:t>
      </w:r>
    </w:p>
    <w:p>
      <w:pPr>
        <w:tabs>
          <w:tab w:pos="9638" w:val="right" w:leader="dot"/>
        </w:tabs>
        <w:spacing w:after="30"/>
        <w:ind w:left="312"/>
      </w:pPr>
      <w:r>
        <w:rPr>
          <w:b w:val="0"/>
          <w:color w:val="333333"/>
          <w:sz w:val="17"/>
        </w:rPr>
        <w:t>6.2 The status of every number in this plan</w:t>
      </w:r>
      <w:r>
        <w:rPr>
          <w:color w:val="444444"/>
          <w:sz w:val="17"/>
        </w:rPr>
        <w:tab/>
        <w:t>19</w:t>
      </w:r>
    </w:p>
    <w:p>
      <w:pPr>
        <w:tabs>
          <w:tab w:pos="9638" w:val="right" w:leader="dot"/>
        </w:tabs>
        <w:spacing w:after="30"/>
        <w:ind w:left="312"/>
      </w:pPr>
      <w:r>
        <w:rPr>
          <w:b w:val="0"/>
          <w:color w:val="333333"/>
          <w:sz w:val="17"/>
        </w:rPr>
        <w:t>6.3 Cost lines — Lean scenario</w:t>
      </w:r>
      <w:r>
        <w:rPr>
          <w:color w:val="444444"/>
          <w:sz w:val="17"/>
        </w:rPr>
        <w:tab/>
        <w:t>20</w:t>
      </w:r>
    </w:p>
    <w:p>
      <w:pPr>
        <w:tabs>
          <w:tab w:pos="9638" w:val="right" w:leader="dot"/>
        </w:tabs>
        <w:spacing w:after="30"/>
        <w:ind w:left="312"/>
      </w:pPr>
      <w:r>
        <w:rPr>
          <w:b w:val="0"/>
          <w:color w:val="333333"/>
          <w:sz w:val="17"/>
        </w:rPr>
        <w:t>6.4 Cost lines — Core scenario (recommended)</w:t>
      </w:r>
      <w:r>
        <w:rPr>
          <w:color w:val="444444"/>
          <w:sz w:val="17"/>
        </w:rPr>
        <w:tab/>
        <w:t>21</w:t>
      </w:r>
    </w:p>
    <w:p>
      <w:pPr>
        <w:tabs>
          <w:tab w:pos="9638" w:val="right" w:leader="dot"/>
        </w:tabs>
        <w:spacing w:after="30"/>
        <w:ind w:left="312"/>
      </w:pPr>
      <w:r>
        <w:rPr>
          <w:b w:val="0"/>
          <w:color w:val="333333"/>
          <w:sz w:val="17"/>
        </w:rPr>
        <w:t>6.5 Cost lines — Full scenario</w:t>
      </w:r>
      <w:r>
        <w:rPr>
          <w:color w:val="444444"/>
          <w:sz w:val="17"/>
        </w:rPr>
        <w:tab/>
        <w:t>21</w:t>
      </w:r>
    </w:p>
    <w:p>
      <w:pPr>
        <w:tabs>
          <w:tab w:pos="9638" w:val="right" w:leader="dot"/>
        </w:tabs>
        <w:spacing w:after="30"/>
        <w:ind w:left="312"/>
      </w:pPr>
      <w:r>
        <w:rPr>
          <w:b w:val="0"/>
          <w:color w:val="333333"/>
          <w:sz w:val="17"/>
        </w:rPr>
        <w:t>6.6 Cost by category and structure</w:t>
      </w:r>
      <w:r>
        <w:rPr>
          <w:color w:val="444444"/>
          <w:sz w:val="17"/>
        </w:rPr>
        <w:tab/>
        <w:t>22</w:t>
      </w:r>
    </w:p>
    <w:p>
      <w:pPr>
        <w:tabs>
          <w:tab w:pos="9638" w:val="right" w:leader="dot"/>
        </w:tabs>
        <w:spacing w:after="30"/>
        <w:ind w:left="312"/>
      </w:pPr>
      <w:r>
        <w:rPr>
          <w:b w:val="0"/>
          <w:color w:val="333333"/>
          <w:sz w:val="17"/>
        </w:rPr>
        <w:t>6.7 Cost by year</w:t>
      </w:r>
      <w:r>
        <w:rPr>
          <w:color w:val="444444"/>
          <w:sz w:val="17"/>
        </w:rPr>
        <w:tab/>
        <w:t>22</w:t>
      </w:r>
    </w:p>
    <w:p>
      <w:pPr>
        <w:tabs>
          <w:tab w:pos="9638" w:val="right" w:leader="dot"/>
        </w:tabs>
        <w:spacing w:after="10"/>
        <w:ind w:left="624"/>
      </w:pPr>
      <w:r>
        <w:rPr>
          <w:b w:val="0"/>
          <w:color w:val="333333"/>
          <w:sz w:val="16"/>
        </w:rPr>
        <w:t>Lean scenario — cost by year (2027–2029, 3 years)</w:t>
      </w:r>
      <w:r>
        <w:rPr>
          <w:color w:val="444444"/>
          <w:sz w:val="16"/>
        </w:rPr>
        <w:tab/>
        <w:t>22</w:t>
      </w:r>
    </w:p>
    <w:p>
      <w:pPr>
        <w:tabs>
          <w:tab w:pos="9638" w:val="right" w:leader="dot"/>
        </w:tabs>
        <w:spacing w:after="10"/>
        <w:ind w:left="624"/>
      </w:pPr>
      <w:r>
        <w:rPr>
          <w:b w:val="0"/>
          <w:color w:val="333333"/>
          <w:sz w:val="16"/>
        </w:rPr>
        <w:t>Core scenario — cost by year (2027–2030, 4 years)</w:t>
      </w:r>
      <w:r>
        <w:rPr>
          <w:color w:val="444444"/>
          <w:sz w:val="16"/>
        </w:rPr>
        <w:tab/>
        <w:t>23</w:t>
      </w:r>
    </w:p>
    <w:p>
      <w:pPr>
        <w:tabs>
          <w:tab w:pos="9638" w:val="right" w:leader="dot"/>
        </w:tabs>
        <w:spacing w:after="10"/>
        <w:ind w:left="624"/>
      </w:pPr>
      <w:r>
        <w:rPr>
          <w:b w:val="0"/>
          <w:color w:val="333333"/>
          <w:sz w:val="16"/>
        </w:rPr>
        <w:t>Full scenario — cost by year (2027–2031, 5 years)</w:t>
      </w:r>
      <w:r>
        <w:rPr>
          <w:color w:val="444444"/>
          <w:sz w:val="16"/>
        </w:rPr>
        <w:tab/>
        <w:t>23</w:t>
      </w:r>
    </w:p>
    <w:p>
      <w:pPr>
        <w:tabs>
          <w:tab w:pos="9638" w:val="right" w:leader="dot"/>
        </w:tabs>
        <w:spacing w:after="30"/>
        <w:ind w:left="312"/>
      </w:pPr>
      <w:r>
        <w:rPr>
          <w:b w:val="0"/>
          <w:color w:val="333333"/>
          <w:sz w:val="17"/>
        </w:rPr>
        <w:t>6.8 What the programme costs if nothing is contributed</w:t>
      </w:r>
      <w:r>
        <w:rPr>
          <w:color w:val="444444"/>
          <w:sz w:val="17"/>
        </w:rPr>
        <w:tab/>
        <w:t>23</w:t>
      </w:r>
    </w:p>
    <w:p>
      <w:pPr>
        <w:tabs>
          <w:tab w:pos="9638" w:val="right" w:leader="dot"/>
        </w:tabs>
        <w:spacing w:after="30"/>
        <w:ind w:left="312"/>
      </w:pPr>
      <w:r>
        <w:rPr>
          <w:b w:val="0"/>
          <w:color w:val="333333"/>
          <w:sz w:val="17"/>
        </w:rPr>
        <w:t>6.9 The ninety-entry catalogue: what it changes and what it would cost to do properly</w:t>
      </w:r>
      <w:r>
        <w:rPr>
          <w:color w:val="444444"/>
          <w:sz w:val="17"/>
        </w:rPr>
        <w:tab/>
        <w:t>24</w:t>
      </w:r>
    </w:p>
    <w:p>
      <w:pPr>
        <w:tabs>
          <w:tab w:pos="9638" w:val="right" w:leader="dot"/>
        </w:tabs>
        <w:spacing w:after="30"/>
        <w:ind w:left="312"/>
      </w:pPr>
      <w:r>
        <w:rPr>
          <w:b w:val="0"/>
          <w:color w:val="333333"/>
          <w:sz w:val="17"/>
        </w:rPr>
        <w:t>6.10 Sensitivity: which lines move most</w:t>
      </w:r>
      <w:r>
        <w:rPr>
          <w:color w:val="444444"/>
          <w:sz w:val="17"/>
        </w:rPr>
        <w:tab/>
        <w:t>24</w:t>
      </w:r>
    </w:p>
    <w:p>
      <w:pPr>
        <w:tabs>
          <w:tab w:pos="9638" w:val="right" w:leader="dot"/>
        </w:tabs>
        <w:spacing w:after="30"/>
        <w:ind w:left="312"/>
      </w:pPr>
      <w:r>
        <w:rPr>
          <w:b w:val="0"/>
          <w:color w:val="333333"/>
          <w:sz w:val="17"/>
        </w:rPr>
        <w:t>6.11 What a reviewer will ask about the costs</w:t>
      </w:r>
      <w:r>
        <w:rPr>
          <w:color w:val="444444"/>
          <w:sz w:val="17"/>
        </w:rPr>
        <w:tab/>
        <w:t>25</w:t>
      </w:r>
    </w:p>
    <w:p>
      <w:pPr>
        <w:tabs>
          <w:tab w:pos="9638" w:val="right" w:leader="dot"/>
        </w:tabs>
        <w:spacing w:after="30"/>
      </w:pPr>
      <w:r>
        <w:rPr>
          <w:b/>
          <w:color w:val="14443C"/>
          <w:sz w:val="18"/>
        </w:rPr>
        <w:t>7. Funding strategy</w:t>
      </w:r>
      <w:r>
        <w:rPr>
          <w:color w:val="444444"/>
          <w:sz w:val="18"/>
        </w:rPr>
        <w:tab/>
        <w:t>25</w:t>
      </w:r>
    </w:p>
    <w:p>
      <w:pPr>
        <w:tabs>
          <w:tab w:pos="9638" w:val="right" w:leader="dot"/>
        </w:tabs>
        <w:spacing w:after="30"/>
        <w:ind w:left="312"/>
      </w:pPr>
      <w:r>
        <w:rPr>
          <w:b w:val="0"/>
          <w:color w:val="333333"/>
          <w:sz w:val="17"/>
        </w:rPr>
        <w:t>7.1 Target mix</w:t>
      </w:r>
      <w:r>
        <w:rPr>
          <w:color w:val="444444"/>
          <w:sz w:val="17"/>
        </w:rPr>
        <w:tab/>
        <w:t>26</w:t>
      </w:r>
    </w:p>
    <w:p>
      <w:pPr>
        <w:tabs>
          <w:tab w:pos="9638" w:val="right" w:leader="dot"/>
        </w:tabs>
        <w:spacing w:after="30"/>
        <w:ind w:left="312"/>
      </w:pPr>
      <w:r>
        <w:rPr>
          <w:b w:val="0"/>
          <w:color w:val="333333"/>
          <w:sz w:val="17"/>
        </w:rPr>
        <w:t>7.2 Pipeline discipline</w:t>
      </w:r>
      <w:r>
        <w:rPr>
          <w:color w:val="444444"/>
          <w:sz w:val="17"/>
        </w:rPr>
        <w:tab/>
        <w:t>26</w:t>
      </w:r>
    </w:p>
    <w:p>
      <w:pPr>
        <w:tabs>
          <w:tab w:pos="9638" w:val="right" w:leader="dot"/>
        </w:tabs>
        <w:spacing w:after="30"/>
        <w:ind w:left="312"/>
      </w:pPr>
      <w:r>
        <w:rPr>
          <w:b w:val="0"/>
          <w:color w:val="333333"/>
          <w:sz w:val="17"/>
        </w:rPr>
        <w:t>7.3 Phasing and stop-go</w:t>
      </w:r>
      <w:r>
        <w:rPr>
          <w:color w:val="444444"/>
          <w:sz w:val="17"/>
        </w:rPr>
        <w:tab/>
        <w:t>26</w:t>
      </w:r>
    </w:p>
    <w:p>
      <w:pPr>
        <w:tabs>
          <w:tab w:pos="9638" w:val="right" w:leader="dot"/>
        </w:tabs>
        <w:spacing w:after="30"/>
      </w:pPr>
      <w:r>
        <w:rPr>
          <w:b/>
          <w:color w:val="14443C"/>
          <w:sz w:val="18"/>
        </w:rPr>
        <w:t>8. Governance and reporting</w:t>
      </w:r>
      <w:r>
        <w:rPr>
          <w:color w:val="444444"/>
          <w:sz w:val="18"/>
        </w:rPr>
        <w:tab/>
        <w:t>26</w:t>
      </w:r>
    </w:p>
    <w:p>
      <w:pPr>
        <w:tabs>
          <w:tab w:pos="9638" w:val="right" w:leader="dot"/>
        </w:tabs>
        <w:spacing w:after="30"/>
      </w:pPr>
      <w:r>
        <w:rPr>
          <w:b/>
          <w:color w:val="14443C"/>
          <w:sz w:val="18"/>
        </w:rPr>
        <w:t>9. Quality management</w:t>
      </w:r>
      <w:r>
        <w:rPr>
          <w:color w:val="444444"/>
          <w:sz w:val="18"/>
        </w:rPr>
        <w:tab/>
        <w:t>27</w:t>
      </w:r>
    </w:p>
    <w:p>
      <w:pPr>
        <w:tabs>
          <w:tab w:pos="9638" w:val="right" w:leader="dot"/>
        </w:tabs>
        <w:spacing w:after="30"/>
      </w:pPr>
      <w:r>
        <w:rPr>
          <w:b/>
          <w:color w:val="14443C"/>
          <w:sz w:val="18"/>
        </w:rPr>
        <w:t>10. Procurement, legal and data operations</w:t>
      </w:r>
      <w:r>
        <w:rPr>
          <w:color w:val="444444"/>
          <w:sz w:val="18"/>
        </w:rPr>
        <w:tab/>
        <w:t>27</w:t>
      </w:r>
    </w:p>
    <w:p>
      <w:pPr>
        <w:tabs>
          <w:tab w:pos="9638" w:val="right" w:leader="dot"/>
        </w:tabs>
        <w:spacing w:after="30"/>
      </w:pPr>
      <w:r>
        <w:rPr>
          <w:b/>
          <w:color w:val="14443C"/>
          <w:sz w:val="18"/>
        </w:rPr>
        <w:t>11. Risk management (project view)</w:t>
      </w:r>
      <w:r>
        <w:rPr>
          <w:color w:val="444444"/>
          <w:sz w:val="18"/>
        </w:rPr>
        <w:tab/>
        <w:t>28</w:t>
      </w:r>
    </w:p>
    <w:p>
      <w:pPr>
        <w:tabs>
          <w:tab w:pos="9638" w:val="right" w:leader="dot"/>
        </w:tabs>
        <w:spacing w:after="30"/>
        <w:ind w:left="312"/>
      </w:pPr>
      <w:r>
        <w:rPr>
          <w:b w:val="0"/>
          <w:color w:val="333333"/>
          <w:sz w:val="17"/>
        </w:rPr>
        <w:t>11.1 The register</w:t>
      </w:r>
      <w:r>
        <w:rPr>
          <w:color w:val="444444"/>
          <w:sz w:val="17"/>
        </w:rPr>
        <w:tab/>
        <w:t>28</w:t>
      </w:r>
    </w:p>
    <w:p>
      <w:pPr>
        <w:tabs>
          <w:tab w:pos="9638" w:val="right" w:leader="dot"/>
        </w:tabs>
        <w:spacing w:after="30"/>
        <w:ind w:left="312"/>
      </w:pPr>
      <w:r>
        <w:rPr>
          <w:b w:val="0"/>
          <w:color w:val="333333"/>
          <w:sz w:val="17"/>
        </w:rPr>
        <w:t>11.2 The three risks that actually govern this programme</w:t>
      </w:r>
      <w:r>
        <w:rPr>
          <w:color w:val="444444"/>
          <w:sz w:val="17"/>
        </w:rPr>
        <w:tab/>
        <w:t>29</w:t>
      </w:r>
    </w:p>
    <w:p>
      <w:pPr>
        <w:tabs>
          <w:tab w:pos="9638" w:val="right" w:leader="dot"/>
        </w:tabs>
        <w:spacing w:after="30"/>
        <w:ind w:left="312"/>
      </w:pPr>
      <w:r>
        <w:rPr>
          <w:b w:val="0"/>
          <w:color w:val="333333"/>
          <w:sz w:val="17"/>
        </w:rPr>
        <w:t>11.3 What a reviewer will ask about the risks</w:t>
      </w:r>
      <w:r>
        <w:rPr>
          <w:color w:val="444444"/>
          <w:sz w:val="17"/>
        </w:rPr>
        <w:tab/>
        <w:t>30</w:t>
      </w:r>
    </w:p>
    <w:p>
      <w:pPr>
        <w:tabs>
          <w:tab w:pos="9638" w:val="right" w:leader="dot"/>
        </w:tabs>
        <w:spacing w:after="30"/>
      </w:pPr>
      <w:r>
        <w:rPr>
          <w:b/>
          <w:color w:val="14443C"/>
          <w:sz w:val="18"/>
        </w:rPr>
        <w:t>12. KPIs and milestone reviews</w:t>
      </w:r>
      <w:r>
        <w:rPr>
          <w:color w:val="444444"/>
          <w:sz w:val="18"/>
        </w:rPr>
        <w:tab/>
        <w:t>30</w:t>
      </w:r>
    </w:p>
    <w:p>
      <w:pPr>
        <w:tabs>
          <w:tab w:pos="9638" w:val="right" w:leader="dot"/>
        </w:tabs>
        <w:spacing w:after="30"/>
      </w:pPr>
      <w:r>
        <w:rPr>
          <w:b/>
          <w:color w:val="14443C"/>
          <w:sz w:val="18"/>
        </w:rPr>
        <w:t>13. Sustainability and exit</w:t>
      </w:r>
      <w:r>
        <w:rPr>
          <w:color w:val="444444"/>
          <w:sz w:val="18"/>
        </w:rPr>
        <w:tab/>
        <w:t>31</w:t>
      </w:r>
    </w:p>
    <w:p>
      <w:pPr>
        <w:tabs>
          <w:tab w:pos="9638" w:val="right" w:leader="dot"/>
        </w:tabs>
        <w:spacing w:after="30"/>
      </w:pPr>
      <w:r>
        <w:rPr>
          <w:b/>
          <w:color w:val="14443C"/>
          <w:sz w:val="18"/>
        </w:rPr>
        <w:t>14. Where this plan is still weak</w:t>
      </w:r>
      <w:r>
        <w:rPr>
          <w:color w:val="444444"/>
          <w:sz w:val="18"/>
        </w:rPr>
        <w:tab/>
        <w:t>31</w:t>
      </w:r>
    </w:p>
    <w:p>
      <w:pPr>
        <w:tabs>
          <w:tab w:pos="9638" w:val="right" w:leader="dot"/>
        </w:tabs>
        <w:spacing w:after="30"/>
      </w:pPr>
      <w:r>
        <w:rPr>
          <w:b/>
          <w:color w:val="14443C"/>
          <w:sz w:val="18"/>
        </w:rPr>
        <w:t>Annex A. Cost lines in full (all scenarios)</w:t>
      </w:r>
      <w:r>
        <w:rPr>
          <w:color w:val="444444"/>
          <w:sz w:val="18"/>
        </w:rPr>
        <w:tab/>
        <w:t>33</w:t>
      </w:r>
    </w:p>
    <w:p>
      <w:pPr>
        <w:tabs>
          <w:tab w:pos="9638" w:val="right" w:leader="dot"/>
        </w:tabs>
        <w:spacing w:after="30"/>
      </w:pPr>
      <w:r>
        <w:rPr>
          <w:b/>
          <w:color w:val="14443C"/>
          <w:sz w:val="18"/>
        </w:rPr>
        <w:t>Annex B. Staffing plans (Lean and Full)</w:t>
      </w:r>
      <w:r>
        <w:rPr>
          <w:color w:val="444444"/>
          <w:sz w:val="18"/>
        </w:rPr>
        <w:tab/>
        <w:t>33</w:t>
      </w:r>
    </w:p>
    <w:p>
      <w:pPr>
        <w:tabs>
          <w:tab w:pos="9638" w:val="right" w:leader="dot"/>
        </w:tabs>
        <w:spacing w:after="10"/>
        <w:ind w:left="624"/>
      </w:pPr>
      <w:r>
        <w:rPr>
          <w:b w:val="0"/>
          <w:color w:val="333333"/>
          <w:sz w:val="16"/>
        </w:rPr>
        <w:t>Lean scenario (3 years)</w:t>
      </w:r>
      <w:r>
        <w:rPr>
          <w:color w:val="444444"/>
          <w:sz w:val="16"/>
        </w:rPr>
        <w:tab/>
        <w:t>33</w:t>
      </w:r>
    </w:p>
    <w:p>
      <w:pPr>
        <w:tabs>
          <w:tab w:pos="9638" w:val="right" w:leader="dot"/>
        </w:tabs>
        <w:spacing w:after="10"/>
        <w:ind w:left="624"/>
      </w:pPr>
      <w:r>
        <w:rPr>
          <w:b w:val="0"/>
          <w:color w:val="333333"/>
          <w:sz w:val="16"/>
        </w:rPr>
        <w:t>Full scenario (5 years)</w:t>
      </w:r>
      <w:r>
        <w:rPr>
          <w:color w:val="444444"/>
          <w:sz w:val="16"/>
        </w:rPr>
        <w:tab/>
        <w:t>34</w:t>
      </w:r>
    </w:p>
    <w:p>
      <w:pPr>
        <w:tabs>
          <w:tab w:pos="9638" w:val="right" w:leader="dot"/>
        </w:tabs>
        <w:spacing w:after="30"/>
      </w:pPr>
      <w:r>
        <w:rPr>
          <w:b/>
          <w:color w:val="14443C"/>
          <w:sz w:val="18"/>
        </w:rPr>
        <w:t>Annex C. Compute and annotation estimation</w:t>
      </w:r>
      <w:r>
        <w:rPr>
          <w:color w:val="444444"/>
          <w:sz w:val="18"/>
        </w:rPr>
        <w:tab/>
        <w:t>34</w:t>
      </w:r>
    </w:p>
    <w:p>
      <w:pPr>
        <w:tabs>
          <w:tab w:pos="9638" w:val="right" w:leader="dot"/>
        </w:tabs>
        <w:spacing w:after="10"/>
        <w:ind w:left="624"/>
      </w:pPr>
      <w:r>
        <w:rPr>
          <w:b w:val="0"/>
          <w:color w:val="333333"/>
          <w:sz w:val="16"/>
        </w:rPr>
        <w:t>C.1 The generation volume model (Core scenario)</w:t>
      </w:r>
      <w:r>
        <w:rPr>
          <w:color w:val="444444"/>
          <w:sz w:val="16"/>
        </w:rPr>
        <w:tab/>
        <w:t>34</w:t>
      </w:r>
    </w:p>
    <w:p>
      <w:pPr>
        <w:tabs>
          <w:tab w:pos="9638" w:val="right" w:leader="dot"/>
        </w:tabs>
        <w:spacing w:after="10"/>
        <w:ind w:left="624"/>
      </w:pPr>
      <w:r>
        <w:rPr>
          <w:b w:val="0"/>
          <w:color w:val="333333"/>
          <w:sz w:val="16"/>
        </w:rPr>
        <w:t>C.2 What the volume costs, and what is a placeholder</w:t>
      </w:r>
      <w:r>
        <w:rPr>
          <w:color w:val="444444"/>
          <w:sz w:val="16"/>
        </w:rPr>
        <w:tab/>
        <w:t>35</w:t>
      </w:r>
    </w:p>
    <w:p>
      <w:pPr>
        <w:tabs>
          <w:tab w:pos="9638" w:val="right" w:leader="dot"/>
        </w:tabs>
        <w:spacing w:after="10"/>
        <w:ind w:left="624"/>
      </w:pPr>
      <w:r>
        <w:rPr>
          <w:b w:val="0"/>
          <w:color w:val="333333"/>
          <w:sz w:val="16"/>
        </w:rPr>
        <w:t>C.3 Annotation</w:t>
      </w:r>
      <w:r>
        <w:rPr>
          <w:color w:val="444444"/>
          <w:sz w:val="16"/>
        </w:rPr>
        <w:tab/>
        <w:t>35</w:t>
      </w:r>
    </w:p>
    <w:p>
      <w:pPr>
        <w:tabs>
          <w:tab w:pos="9638" w:val="right" w:leader="dot"/>
        </w:tabs>
        <w:spacing w:after="30"/>
      </w:pPr>
      <w:r>
        <w:rPr>
          <w:b/>
          <w:color w:val="14443C"/>
          <w:sz w:val="18"/>
        </w:rPr>
        <w:t>Annex D. WBS export</w:t>
      </w:r>
      <w:r>
        <w:rPr>
          <w:color w:val="444444"/>
          <w:sz w:val="18"/>
        </w:rPr>
        <w:tab/>
        <w:t>36</w:t>
      </w:r>
    </w:p>
    <w:p>
      <w:pPr>
        <w:tabs>
          <w:tab w:pos="9638" w:val="right" w:leader="dot"/>
        </w:tabs>
        <w:spacing w:after="30"/>
      </w:pPr>
      <w:r>
        <w:rPr>
          <w:b/>
          <w:color w:val="14443C"/>
          <w:sz w:val="18"/>
        </w:rPr>
        <w:t>Annex E. Open items and who closes them</w:t>
      </w:r>
      <w:r>
        <w:rPr>
          <w:color w:val="444444"/>
          <w:sz w:val="18"/>
        </w:rPr>
        <w:tab/>
        <w:t>36</w:t>
      </w:r>
    </w:p>
    <w:p>
      <w:pPr>
        <w:tabs>
          <w:tab w:pos="9638" w:val="right" w:leader="dot"/>
        </w:tabs>
        <w:spacing w:after="30"/>
      </w:pPr>
      <w:r>
        <w:rPr>
          <w:b/>
          <w:color w:val="14443C"/>
          <w:sz w:val="18"/>
        </w:rPr>
        <w:t>References</w:t>
      </w:r>
      <w:r>
        <w:rPr>
          <w:color w:val="444444"/>
          <w:sz w:val="18"/>
        </w:rPr>
        <w:tab/>
        <w:t>38</w:t>
      </w:r>
      <w:r>
        <w:fldChar w:fldCharType="end"/>
      </w:r>
    </w:p>
    <w:p>
      <w:r>
        <w:br w:type="page"/>
      </w:r>
    </w:p>
    <w:p>
      <w:pPr>
        <w:pStyle w:val="Heading1"/>
      </w:pPr>
      <w:r>
        <w:t>1. How to read this plan</w:t>
      </w:r>
    </w:p>
    <w:p>
      <w:pPr>
        <w:spacing w:before="0" w:after="140" w:line="40" w:lineRule="exact"/>
        <w:pBdr>
          <w:bottom w:val="single" w:sz="16" w:space="0" w:color="E8A13D"/>
        </w:pBdr>
      </w:pPr>
      <w:r>
        <w:rPr>
          <w:sz w:val="2"/>
        </w:rPr>
      </w:r>
    </w:p>
    <w:tbl>
      <w:tblPr>
        <w:tblW w:type="auto" w:w="0"/>
        <w:tblLook w:firstColumn="1" w:firstRow="1" w:lastColumn="0" w:lastRow="0" w:noHBand="0" w:noVBand="1" w:val="04A0"/>
      </w:tblPr>
      <w:tblGrid>
        <w:gridCol w:w="9638"/>
      </w:tblGrid>
      <w:tr>
        <w:tc>
          <w:tcPr>
            <w:tcW w:type="dxa" w:w="9638"/>
            <w:shd w:val="clear" w:fill="F8F1E5"/>
            <w:tcBorders>
              <w:left w:val="single" w:sz="24" w:color="E8A13D"/>
            </w:tcBorders>
          </w:tcPr>
          <w:p>
            <w:r/>
            <w:r>
              <w:rPr>
                <w:b/>
                <w:color w:val="14443C"/>
                <w:sz w:val="19"/>
              </w:rPr>
              <w:t>Where this plan stands today</w:t>
            </w:r>
          </w:p>
          <w:p>
            <w:pPr>
              <w:spacing w:after="20"/>
            </w:pPr>
            <w:r>
              <w:rPr>
                <w:sz w:val="18"/>
              </w:rPr>
              <w:t>Nothing in this plan has been built. There is no academic or clinical host, no signed partner, no ethics opinion, no oversight board, no funding and no data beyond two screening passes of an instrument this programme proposes to replace. The SCT-1.0 pilot of 12 September 2026 was eleven attempted runs of which seven completed all 120 probes, one run per probe, scored by rubric pattern with manual review of flagged items; a twelfth run two days later re-tested the programme's own product and is reported in full at 1.3. Together they show that cross-model behavioural profiling can be run at all, and nothing more. The field manual this plan operationalises — AI-DSM field manual v1.3, 15 September 2026 — is a draft for discussion, and its author is the person this plan names as principal investigator. Every date in section 4 is an offset from a kick-off that depends on a funding decision nobody has taken; section 4.3 says what the earliest honest start would be. Every euro in section 6 is a modelled estimate or a placeholder; not one line is a quote. The three scenarios — €1,079,500, €3,960,000 and €9,360,000 — are costed on the assumption that an institution absorbs the principal investigator, the postdoctoral researchers, the doctoral researchers, the methodological core (statistician and psychometrician) and operations, legal and governance, the line that carries the ethics review, together with the institutional overhead inside those loaded rates. Nobody has agreed to. Section 6.8 prices what happens if nobody does.</w:t>
            </w:r>
          </w:p>
        </w:tc>
      </w:tr>
    </w:tbl>
    <w:p>
      <w:pPr>
        <w:spacing w:after="60"/>
      </w:pPr>
    </w:p>
    <w:p>
      <w:pPr>
        <w:spacing w:after="100"/>
      </w:pPr>
      <w:r>
        <w:rPr>
          <w:b w:val="0"/>
          <w:i w:val="0"/>
          <w:sz w:val="19"/>
        </w:rPr>
        <w:t>This plan is written to be executed, audited and costed by people who did not write it. It is written against AI-DSM field manual v1.3, 15 September 2026 — the field manual whose ninety-entry catalogue, ten groups and 416-item source registry the programme sets out to test. The v1.0 edition of this plan was written against v1.2 of the manual, which carried forty entries in seven groups; section 1.1 lists what that change moved. Where this plan and another document in the set disagree, the order of precedence is: the shared cost model first for any euro figure, this plan for any date, owner or task, the Study Proposal for any scientific claim, and the Ethics Dossier for any question of permission.</w:t>
      </w:r>
    </w:p>
    <w:p>
      <w:pPr>
        <w:pStyle w:val="ListBullet"/>
        <w:spacing w:after="50"/>
      </w:pPr>
      <w:r>
        <w:rPr>
          <w:sz w:val="19"/>
        </w:rPr>
        <w:t>Section 2: what the project is and what success means.</w:t>
      </w:r>
    </w:p>
    <w:p>
      <w:pPr>
        <w:pStyle w:val="ListBullet"/>
        <w:spacing w:after="50"/>
      </w:pPr>
      <w:r>
        <w:rPr>
          <w:sz w:val="19"/>
        </w:rPr>
        <w:t>Section 3: the deliverables, numbered D1–D38, each owned by a workstream from the Study Proposal, and the five tasks v1.1 adds against them.</w:t>
      </w:r>
    </w:p>
    <w:p>
      <w:pPr>
        <w:pStyle w:val="ListBullet"/>
        <w:spacing w:after="50"/>
      </w:pPr>
      <w:r>
        <w:rPr>
          <w:sz w:val="19"/>
        </w:rPr>
        <w:t>Section 4: the schedule — the scenario timelines, the critical path, the earliest date the programme could start, and the task tables by workstream.</w:t>
      </w:r>
    </w:p>
    <w:p>
      <w:pPr>
        <w:pStyle w:val="ListBullet"/>
        <w:spacing w:after="50"/>
      </w:pPr>
      <w:r>
        <w:rPr>
          <w:sz w:val="19"/>
        </w:rPr>
        <w:t>Section 5: the team, the rates priced twice, the resource model and the reconciliation between the two.</w:t>
      </w:r>
    </w:p>
    <w:p>
      <w:pPr>
        <w:pStyle w:val="ListBullet"/>
        <w:spacing w:after="50"/>
      </w:pPr>
      <w:r>
        <w:rPr>
          <w:sz w:val="19"/>
        </w:rPr>
        <w:t>Section 6: the cost estimation — full tables for all three scenarios, the status of every line, the price of the contributed assumption failing, and the sensitivity ranking.</w:t>
      </w:r>
    </w:p>
    <w:p>
      <w:pPr>
        <w:pStyle w:val="ListBullet"/>
        <w:spacing w:after="50"/>
      </w:pPr>
      <w:r>
        <w:rPr>
          <w:sz w:val="19"/>
        </w:rPr>
        <w:t>Section 7: funding strategy and the outreach pipeline.</w:t>
      </w:r>
    </w:p>
    <w:p>
      <w:pPr>
        <w:pStyle w:val="ListBullet"/>
        <w:spacing w:after="50"/>
      </w:pPr>
      <w:r>
        <w:rPr>
          <w:sz w:val="19"/>
        </w:rPr>
        <w:t>Sections 8–13: governance, quality management, procurement and legal, KPIs, and sustainability.</w:t>
      </w:r>
    </w:p>
    <w:p>
      <w:pPr>
        <w:pStyle w:val="ListBullet"/>
        <w:spacing w:after="50"/>
      </w:pPr>
      <w:r>
        <w:rPr>
          <w:sz w:val="19"/>
        </w:rPr>
        <w:t>Section 14: where this plan is still weak — the objections a hostile reviewer would raise, in their words, with the honest position and what would close each one. Sections 4, 6 and 11 close with the shorter version of the same table.</w:t>
      </w:r>
    </w:p>
    <w:p>
      <w:pPr>
        <w:pStyle w:val="ListBullet"/>
        <w:spacing w:after="50"/>
      </w:pPr>
      <w:r>
        <w:rPr>
          <w:sz w:val="19"/>
        </w:rPr>
        <w:t>Annexes: detailed cost lines, FTE plans, the compute model, the task WBS, and the register of open items with owners and dates.</w:t>
      </w:r>
    </w:p>
    <w:p>
      <w:pPr>
        <w:spacing w:after="100"/>
      </w:pPr>
      <w:r>
        <w:rPr>
          <w:b w:val="0"/>
          <w:i w:val="0"/>
          <w:sz w:val="19"/>
        </w:rPr>
        <w:t>All monetary values are planning estimates in euro as of September 2026. Scenarios are delivery options, not fundraising targets; the Core scenario is the recommended basis for grant applications.</w:t>
      </w:r>
    </w:p>
    <w:p>
      <w:pPr>
        <w:pStyle w:val="Heading2"/>
      </w:pPr>
      <w:r>
        <w:t>1.1 What changed in v1.1</w:t>
      </w:r>
    </w:p>
    <w:p>
      <w:pPr>
        <w:pStyle w:val="ListBullet"/>
        <w:spacing w:after="50"/>
      </w:pPr>
      <w:r>
        <w:rPr>
          <w:sz w:val="19"/>
        </w:rPr>
        <w:t>Written against AI-DSM field manual v1.3, 15 September 2026. The catalogue moved from forty entries in seven groups to ninety in ten; the evidence mix from 17 established, 15 plausible and 8 speculative to 59 established, 23 plausible, 7 speculative and one entry with a mixed label; the source registry from 42 items to 416. One label moved on evidence: goal persistence was raised from speculative to plausible on shutdown-resistance results across more than 100,000 trials and thirteen models [1].</w:t>
      </w:r>
    </w:p>
    <w:p>
      <w:pPr>
        <w:pStyle w:val="ListBullet"/>
        <w:spacing w:after="50"/>
      </w:pPr>
      <w:r>
        <w:rPr>
          <w:sz w:val="19"/>
        </w:rPr>
        <w:t>Roles are priced twice — once if an institution contributes the hour and once if the programme buys it (5.1) — and 6.8 prices the failure of the contributed assumption at the programme level.</w:t>
      </w:r>
    </w:p>
    <w:p>
      <w:pPr>
        <w:pStyle w:val="ListBullet"/>
        <w:spacing w:after="50"/>
      </w:pPr>
      <w:r>
        <w:rPr>
          <w:sz w:val="19"/>
        </w:rPr>
        <w:t>Every cost line carries a status (6.2). No line in this plan is a quote, and the plan says so rather than implying otherwise.</w:t>
      </w:r>
    </w:p>
    <w:p>
      <w:pPr>
        <w:pStyle w:val="ListBullet"/>
        <w:spacing w:after="50"/>
      </w:pPr>
      <w:r>
        <w:rPr>
          <w:sz w:val="19"/>
        </w:rPr>
        <w:t>WP3 is scoped to a pre-registered priority set of 46 entries with the remaining 44 named as deferred; 6.9 prices what extending differential batteries to all 90 would cost, and says why the entry count is the wrong unit.</w:t>
      </w:r>
    </w:p>
    <w:p>
      <w:pPr>
        <w:pStyle w:val="ListBullet"/>
        <w:spacing w:after="50"/>
      </w:pPr>
      <w:r>
        <w:rPr>
          <w:sz w:val="19"/>
        </w:rPr>
        <w:t>Five tasks are new — 2.8, 3.6, 4.7, 6.5 and 8.5 — for the three groups v1.3 added: reasoning and effort, agentic and tool-use, and relational and influence.</w:t>
      </w:r>
    </w:p>
    <w:p>
      <w:pPr>
        <w:pStyle w:val="ListBullet"/>
        <w:spacing w:after="50"/>
      </w:pPr>
      <w:r>
        <w:rPr>
          <w:sz w:val="19"/>
        </w:rPr>
        <w:t>A critical-path table that says what blocks what (4.2) and an explicit statement of the earliest date the programme could start if funding arrived tomorrow (4.3).</w:t>
      </w:r>
    </w:p>
    <w:p>
      <w:pPr>
        <w:pStyle w:val="ListBullet"/>
        <w:spacing w:after="50"/>
      </w:pPr>
      <w:r>
        <w:rPr>
          <w:sz w:val="19"/>
        </w:rPr>
        <w:t>H3 is restated against the denominator the funded scope actually reaches: 51 of 85 entries rather than of 90, because a differential battery tests a pair and separates both of its arms (2.3). The five entries no funded battery reaches are named rather than absorbed.</w:t>
      </w:r>
    </w:p>
    <w:p>
      <w:pPr>
        <w:pStyle w:val="ListBullet"/>
        <w:spacing w:after="50"/>
      </w:pPr>
      <w:r>
        <w:rPr>
          <w:sz w:val="19"/>
        </w:rPr>
        <w:t>The pilot record is completed: a twelfth SCT-1.0 run, of the programme's own product, is disclosed with its caveats at 1.3. No v1.0 document mentions it.</w:t>
      </w:r>
    </w:p>
    <w:p>
      <w:pPr>
        <w:pStyle w:val="ListBullet"/>
        <w:spacing w:after="50"/>
      </w:pPr>
      <w:r>
        <w:rPr>
          <w:sz w:val="19"/>
        </w:rPr>
        <w:t>A register of open items with owners and dates (Annex E), and four arithmetic corrections to v1.0 recorded in it: the compute assumption (OI-10), the Full staffing total (OI-11), a missing doctoral-researcher row in the Lean plan (OI-12), and a peak-FTE figure computed two different ways (OI-13).</w:t>
      </w:r>
    </w:p>
    <w:p>
      <w:pPr>
        <w:pStyle w:val="Heading2"/>
      </w:pPr>
      <w:r>
        <w:t>1.2 How to read a number in this plan</w:t>
      </w:r>
    </w:p>
    <w:p>
      <w:pPr>
        <w:spacing w:after="100"/>
      </w:pPr>
      <w:r>
        <w:rPr>
          <w:b w:val="0"/>
          <w:i w:val="0"/>
          <w:sz w:val="19"/>
        </w:rPr>
        <w:t>Three statuses run through this plan, and they are meant literally.</w:t>
      </w:r>
    </w:p>
    <w:p>
      <w:pPr>
        <w:pStyle w:val="ListBullet"/>
        <w:spacing w:after="50"/>
      </w:pPr>
      <w:r>
        <w:rPr>
          <w:b/>
          <w:sz w:val="19"/>
        </w:rPr>
        <w:t xml:space="preserve">Quoted — </w:t>
      </w:r>
      <w:r>
        <w:rPr>
          <w:sz w:val="19"/>
        </w:rPr>
        <w:t>a price a supplier has given in writing. There are none in this plan. No manufacturer, vendor, auditor, consultant or committee has been asked for a number, so nothing here has earned the word.</w:t>
      </w:r>
    </w:p>
    <w:p>
      <w:pPr>
        <w:pStyle w:val="ListBullet"/>
        <w:spacing w:after="50"/>
      </w:pPr>
      <w:r>
        <w:rPr>
          <w:b/>
          <w:sz w:val="19"/>
        </w:rPr>
        <w:t xml:space="preserve">Modelled — </w:t>
      </w:r>
      <w:r>
        <w:rPr>
          <w:sz w:val="19"/>
        </w:rPr>
        <w:t>an estimate built from a stated arithmetic basis that a reader can recompute: a rate multiplied by FTE-years, a volume multiplied by a unit price, a percentage of a total. Most lines in section 6 are modelled. Where the arithmetic does not reconcile with the rates in 5.1, section 5.4 says so and by how much.</w:t>
      </w:r>
    </w:p>
    <w:p>
      <w:pPr>
        <w:pStyle w:val="ListBullet"/>
        <w:spacing w:after="50"/>
      </w:pPr>
      <w:r>
        <w:rPr>
          <w:b/>
          <w:sz w:val="19"/>
        </w:rPr>
        <w:t xml:space="preserve">Placeholder — </w:t>
      </w:r>
      <w:r>
        <w:rPr>
          <w:sz w:val="19"/>
        </w:rPr>
        <w:t>a number that belongs to a supplier who has not been asked. It is written PLACEHOLDER rather than guessed, because guessing would only make the total look more settled than it is. The programme's largest placeholders are the model-API unit price, the agentic containment tier and the ethics review.</w:t>
      </w:r>
    </w:p>
    <w:p>
      <w:pPr>
        <w:spacing w:after="100"/>
      </w:pPr>
      <w:r>
        <w:rPr>
          <w:b w:val="0"/>
          <w:i w:val="0"/>
          <w:sz w:val="19"/>
        </w:rPr>
        <w:t>The v1.0 edition of this plan stated €450,000 of model inference to the euro. Nobody holds an API quote and no framework agreement exists. That figure is an envelope, not a price: Annex C sets out the volume model behind it, marks the unit price as a placeholder, and says which way the line moves if the placeholder is wrong.</w:t>
      </w:r>
    </w:p>
    <w:p>
      <w:pPr>
        <w:pStyle w:val="Heading2"/>
      </w:pPr>
      <w:r>
        <w:t>1.3 The pilot data the programme actually holds</w:t>
      </w:r>
    </w:p>
    <w:p>
      <w:pPr>
        <w:spacing w:after="100"/>
      </w:pPr>
      <w:r>
        <w:rPr>
          <w:b w:val="0"/>
          <w:i w:val="0"/>
          <w:sz w:val="19"/>
        </w:rPr>
        <w:t>One correction to the record belongs here rather than in a footnote. A twelfth run sits in the pilot workbook and no v1.0 document mentions it: on 14 September 2026 the programme re-tested its own product, TI Assistant, on all 120 probes, and it scored 98.3 against 85.0 two days earlier — from the bottom of the seven completed runs to the top of them. Three things have to be said with that number. The re-test was a mixed channel: 51 of the 120 probes answered through the web interface and 69 through the public chatbot API, after the interface returned service-side errors on 103 probes in the first pass, so an unknown part of the change is a serving path rather than a behaviour. The workbook's own run note quotes the delta as 85.0 → 97.7 while its computed column reads 98.3; the two disagree by six tenths of a point and the discrepancy is unresolved. And the run it is compared against is weak evidence in the other direction: 63 of the 120 items in the 12 September 2026 TI Assistant run matched no scoring rule and were scored 3 by default, so the 85.0 it is measured against is substantially a default rather than an observation. Nothing in this plan rests on the result in either direction — N = 1 on a screening instrument, on the programme's own product, scored by the programme — but the programme has now measured itself twice and moved, and a document that quoted only the first measurement would be selecting its own evidence.</w:t>
      </w:r>
    </w:p>
    <w:p>
      <w:pPr>
        <w:spacing w:after="100"/>
      </w:pPr>
      <w:r>
        <w:rPr>
          <w:b w:val="0"/>
          <w:i/>
          <w:sz w:val="16"/>
        </w:rPr>
        <w:t>The consequence for this plan is small and worth stating anyway. Nothing in sections 4, 5 or 6 is sized from a pilot score, and the programme-level claim the pilot supports is unchanged: an instrument of this shape can be run across models at all. But the pilot is the only measurement the programme has made, the programme is now one of the things it has measured, and 11.2 records the conflict that creates. The re-test is the reason the conflict is not theoretical: a screening instrument whose author's own product improves by thirteen points between two runs two days apart needs an external scorer before anyone quotes it, which is what task 2.4 and the external analysis lead in section 8 exist to supply.</w:t>
      </w:r>
    </w:p>
    <w:p>
      <w:pPr>
        <w:pStyle w:val="Heading1"/>
      </w:pPr>
      <w:r>
        <w:t>2. Project statement</w:t>
      </w:r>
    </w:p>
    <w:p>
      <w:pPr>
        <w:spacing w:before="0" w:after="140" w:line="40" w:lineRule="exact"/>
        <w:pBdr>
          <w:bottom w:val="single" w:sz="16" w:space="0" w:color="E8A13D"/>
        </w:pBdr>
      </w:pPr>
      <w:r>
        <w:rPr>
          <w:sz w:val="2"/>
        </w:rPr>
      </w:r>
    </w:p>
    <w:p>
      <w:pPr>
        <w:pStyle w:val="Heading2"/>
      </w:pPr>
      <w:r>
        <w:t>2.1 Scope</w:t>
      </w:r>
    </w:p>
    <w:p>
      <w:pPr>
        <w:spacing w:after="100"/>
      </w:pPr>
      <w:r>
        <w:rPr>
          <w:b w:val="0"/>
          <w:i w:val="0"/>
          <w:sz w:val="19"/>
        </w:rPr>
        <w:t>The project delivers: a validated behavioural instrument (SCT-2.0) measuring ten axis constructs; a tested trait taxonomy (v2) with differential batteries across a pre-registered priority set; contained causal studies and treatment trials with verified outcomes; a preventive training standard and corpus (CFC-1, DSM-TRN-1); a certifiable behavioural safety standard (BSS-1) with a five-level certification scheme; deployment guidance and a rescue pathway; and open scientific outputs throughout, including failures.</w:t>
      </w:r>
    </w:p>
    <w:p>
      <w:pPr>
        <w:spacing w:after="100"/>
      </w:pPr>
      <w:r>
        <w:rPr>
          <w:b w:val="0"/>
          <w:i w:val="0"/>
          <w:sz w:val="19"/>
        </w:rPr>
        <w:t>What the programme is for changed with the manual, and the scope above should be read in that light. With 59 of the ninety entries now carrying an established label, the programme's job is no longer mainly to find out whether these behaviours are real. It is to measure them reliably, to separate the ones that are confusable with each other, and to find which of the fifty entries v1.3 added survive contact with a validated instrument. Replication priority therefore sits with the 30 plausible and speculative entries and with the newly established entries whose evidence is a single study — which is what the WP3 priority set in 6.9 selects for, and why it is not simply the catalogue.</w:t>
      </w:r>
    </w:p>
    <w:p>
      <w:pPr>
        <w:pStyle w:val="Heading2"/>
      </w:pPr>
      <w:r>
        <w:t>2.2 Out of scope</w:t>
      </w:r>
    </w:p>
    <w:p>
      <w:pPr>
        <w:spacing w:after="100"/>
      </w:pPr>
      <w:r>
        <w:rPr>
          <w:b w:val="0"/>
          <w:i w:val="0"/>
          <w:sz w:val="19"/>
        </w:rPr>
      </w:r>
      <w:r>
        <w:rPr>
          <w:b/>
          <w:sz w:val="19"/>
        </w:rPr>
        <w:t xml:space="preserve">Out of scope, permanently: </w:t>
      </w:r>
      <w:r>
        <w:rPr>
          <w:sz w:val="19"/>
        </w:rPr>
        <w:t>deployment or sale of model organisms; open release of red-line methods or data; research on self-improvement, real-target manipulation, or operational cyber/bio uplift; human exposure to induced behaviour; certification claims of absolute safety. These boundaries are contractual with funders and structural in the governance.</w:t>
      </w:r>
    </w:p>
    <w:p>
      <w:pPr>
        <w:spacing w:after="100"/>
      </w:pPr>
      <w:r>
        <w:rPr>
          <w:b w:val="0"/>
          <w:i w:val="0"/>
          <w:sz w:val="19"/>
        </w:rPr>
        <w:t>One boundary is new in v1.1 and belongs here rather than in a risk table. The relational entries T-82–T-86 — social sycophancy, delusion reinforcement, relational capture, identity misrepresentation, manipulative persuasion — describe what a system does to a person over time, and the population they reach is the one least able to supply the correction the system withholds [2][3]. The programme measures them with scripted simulated users and published human-advice baselines. It runs no relational data collection involving real users, in any scenario, without a named clinical partner, a separate ethics review and a safeguarding protocol — and none of those three exists. The litigation record of 2025–2026 [4][5][6] is a reason for care in method, not a reason to leave the traits unmeasured.</w:t>
      </w:r>
    </w:p>
    <w:p>
      <w:pPr>
        <w:pStyle w:val="Heading2"/>
      </w:pPr>
      <w:r>
        <w:t>2.3 Success criteria</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814"/>
            <w:shd w:val="clear" w:fill="0F2622"/>
          </w:tcPr>
          <w:p>
            <w:pPr>
              <w:spacing w:after="20" w:before="20"/>
            </w:pPr>
            <w:r/>
            <w:r>
              <w:rPr>
                <w:b/>
                <w:color w:val="FFFFFF"/>
                <w:sz w:val="14"/>
              </w:rPr>
              <w:t>Criterion</w:t>
            </w:r>
          </w:p>
        </w:tc>
        <w:tc>
          <w:tcPr>
            <w:tcW w:type="dxa" w:w="4309"/>
            <w:shd w:val="clear" w:fill="0F2622"/>
          </w:tcPr>
          <w:p>
            <w:pPr>
              <w:spacing w:after="20" w:before="20"/>
            </w:pPr>
            <w:r/>
            <w:r>
              <w:rPr>
                <w:b/>
                <w:color w:val="FFFFFF"/>
                <w:sz w:val="14"/>
              </w:rPr>
              <w:t>Target</w:t>
            </w:r>
          </w:p>
        </w:tc>
        <w:tc>
          <w:tcPr>
            <w:tcW w:type="dxa" w:w="2948"/>
            <w:shd w:val="clear" w:fill="0F2622"/>
          </w:tcPr>
          <w:p>
            <w:pPr>
              <w:spacing w:after="20" w:before="20"/>
            </w:pPr>
            <w:r/>
            <w:r>
              <w:rPr>
                <w:b/>
                <w:color w:val="FFFFFF"/>
                <w:sz w:val="14"/>
              </w:rPr>
              <w:t>Verified by</w:t>
            </w:r>
          </w:p>
        </w:tc>
      </w:tr>
      <w:tr>
        <w:trPr>
          <w:cantSplit/>
        </w:trPr>
        <w:tc>
          <w:tcPr>
            <w:tcW w:type="dxa" w:w="1814"/>
          </w:tcPr>
          <w:p>
            <w:pPr>
              <w:spacing w:after="20" w:before="20"/>
            </w:pPr>
            <w:r/>
            <w:r>
              <w:rPr>
                <w:b w:val="0"/>
                <w:sz w:val="14"/>
              </w:rPr>
              <w:t>Instrument validity</w:t>
            </w:r>
          </w:p>
        </w:tc>
        <w:tc>
          <w:tcPr>
            <w:tcW w:type="dxa" w:w="4309"/>
          </w:tcPr>
          <w:p>
            <w:pPr>
              <w:spacing w:after="20" w:before="20"/>
            </w:pPr>
            <w:r>
              <w:t>H1 thresholds met (CFI/RMSEA/reliability) and published, against the professional test standards [15][23]</w:t>
            </w:r>
            <w:r>
              <w:rPr>
                <w:b w:val="0"/>
                <w:sz w:val="14"/>
              </w:rPr>
            </w:r>
          </w:p>
        </w:tc>
        <w:tc>
          <w:tcPr>
            <w:tcW w:type="dxa" w:w="2948"/>
          </w:tcPr>
          <w:p>
            <w:pPr>
              <w:spacing w:after="20" w:before="20"/>
            </w:pPr>
            <w:r/>
            <w:r>
              <w:rPr>
                <w:b w:val="0"/>
                <w:sz w:val="14"/>
              </w:rPr>
              <w:t>WP2 validation report; external methods review</w:t>
            </w:r>
          </w:p>
        </w:tc>
      </w:tr>
      <w:tr>
        <w:trPr>
          <w:cantSplit/>
        </w:trPr>
        <w:tc>
          <w:tcPr>
            <w:tcW w:type="dxa" w:w="1814"/>
            <w:shd w:val="clear" w:fill="EAF4EF"/>
          </w:tcPr>
          <w:p>
            <w:pPr>
              <w:spacing w:after="20" w:before="20"/>
            </w:pPr>
            <w:r/>
            <w:r>
              <w:rPr>
                <w:b w:val="0"/>
                <w:sz w:val="14"/>
              </w:rPr>
              <w:t>Taxonomy evidence (H3)</w:t>
            </w:r>
          </w:p>
        </w:tc>
        <w:tc>
          <w:tcPr>
            <w:tcW w:type="dxa" w:w="4309"/>
            <w:shd w:val="clear" w:fill="EAF4EF"/>
          </w:tcPr>
          <w:p>
            <w:pPr>
              <w:spacing w:after="20" w:before="20"/>
            </w:pPr>
            <w:r/>
            <w:r>
              <w:rPr>
                <w:b w:val="0"/>
                <w:sz w:val="14"/>
              </w:rPr>
              <w:t>≥ 51 of the 85 entries a funded differential battery reaches separate; ≥ 41 of the 54 established entries among them separate; ≤ 17 merge or retire. The denominator is the reached set, not the catalogue: the basis is below the table</w:t>
            </w:r>
          </w:p>
        </w:tc>
        <w:tc>
          <w:tcPr>
            <w:tcW w:type="dxa" w:w="2948"/>
            <w:shd w:val="clear" w:fill="EAF4EF"/>
          </w:tcPr>
          <w:p>
            <w:pPr>
              <w:spacing w:after="20" w:before="20"/>
            </w:pPr>
            <w:r/>
            <w:r>
              <w:rPr>
                <w:b w:val="0"/>
                <w:sz w:val="14"/>
              </w:rPr>
              <w:t>Taxonomy v2 + differential battery data</w:t>
            </w:r>
          </w:p>
        </w:tc>
      </w:tr>
      <w:tr>
        <w:trPr>
          <w:cantSplit/>
        </w:trPr>
        <w:tc>
          <w:tcPr>
            <w:tcW w:type="dxa" w:w="1814"/>
          </w:tcPr>
          <w:p>
            <w:pPr>
              <w:spacing w:after="20" w:before="20"/>
            </w:pPr>
            <w:r/>
            <w:r>
              <w:rPr>
                <w:b w:val="0"/>
                <w:sz w:val="14"/>
              </w:rPr>
              <w:t>Honest scope</w:t>
            </w:r>
          </w:p>
        </w:tc>
        <w:tc>
          <w:tcPr>
            <w:tcW w:type="dxa" w:w="4309"/>
          </w:tcPr>
          <w:p>
            <w:pPr>
              <w:spacing w:after="20" w:before="20"/>
            </w:pPr>
            <w:r/>
            <w:r>
              <w:rPr>
                <w:b w:val="0"/>
                <w:sz w:val="14"/>
              </w:rPr>
              <w:t>The five entries no funded battery reaches, and the 44 outside the priority set, are published as named lists with the reason and reported as untested rather than as separated</w:t>
            </w:r>
          </w:p>
        </w:tc>
        <w:tc>
          <w:tcPr>
            <w:tcW w:type="dxa" w:w="2948"/>
          </w:tcPr>
          <w:p>
            <w:pPr>
              <w:spacing w:after="20" w:before="20"/>
            </w:pPr>
            <w:r/>
            <w:r>
              <w:rPr>
                <w:b w:val="0"/>
                <w:sz w:val="14"/>
              </w:rPr>
              <w:t>Taxonomy v2 (D10); pre-registration</w:t>
            </w:r>
          </w:p>
        </w:tc>
      </w:tr>
      <w:tr>
        <w:trPr>
          <w:cantSplit/>
        </w:trPr>
        <w:tc>
          <w:tcPr>
            <w:tcW w:type="dxa" w:w="1814"/>
            <w:shd w:val="clear" w:fill="EAF4EF"/>
          </w:tcPr>
          <w:p>
            <w:pPr>
              <w:spacing w:after="20" w:before="20"/>
            </w:pPr>
            <w:r/>
            <w:r>
              <w:rPr>
                <w:b w:val="0"/>
                <w:sz w:val="14"/>
              </w:rPr>
              <w:t>Causal knowledge</w:t>
            </w:r>
          </w:p>
        </w:tc>
        <w:tc>
          <w:tcPr>
            <w:tcW w:type="dxa" w:w="4309"/>
            <w:shd w:val="clear" w:fill="EAF4EF"/>
          </w:tcPr>
          <w:p>
            <w:pPr>
              <w:spacing w:after="20" w:before="20"/>
            </w:pPr>
            <w:r/>
            <w:r>
              <w:rPr>
                <w:b w:val="0"/>
                <w:sz w:val="14"/>
              </w:rPr>
              <w:t>Trait induction verified in ≥ 5/6 batch-1 traits</w:t>
            </w:r>
          </w:p>
        </w:tc>
        <w:tc>
          <w:tcPr>
            <w:tcW w:type="dxa" w:w="2948"/>
            <w:shd w:val="clear" w:fill="EAF4EF"/>
          </w:tcPr>
          <w:p>
            <w:pPr>
              <w:spacing w:after="20" w:before="20"/>
            </w:pPr>
            <w:r/>
            <w:r>
              <w:rPr>
                <w:b w:val="0"/>
                <w:sz w:val="14"/>
              </w:rPr>
              <w:t>WP4 causal reports + organism registry</w:t>
            </w:r>
          </w:p>
        </w:tc>
      </w:tr>
      <w:tr>
        <w:trPr>
          <w:cantSplit/>
        </w:trPr>
        <w:tc>
          <w:tcPr>
            <w:tcW w:type="dxa" w:w="1814"/>
          </w:tcPr>
          <w:p>
            <w:pPr>
              <w:spacing w:after="20" w:before="20"/>
            </w:pPr>
            <w:r/>
            <w:r>
              <w:rPr>
                <w:b w:val="0"/>
                <w:sz w:val="14"/>
              </w:rPr>
              <w:t>Treatment verification</w:t>
            </w:r>
          </w:p>
        </w:tc>
        <w:tc>
          <w:tcPr>
            <w:tcW w:type="dxa" w:w="4309"/>
          </w:tcPr>
          <w:p>
            <w:pPr>
              <w:spacing w:after="20" w:before="20"/>
            </w:pPr>
            <w:r/>
            <w:r>
              <w:rPr>
                <w:b w:val="0"/>
                <w:sz w:val="14"/>
              </w:rPr>
              <w:t>≥ 2 arms with held-out improvement surviving 180-day relapse in ≥ 70%, which is the horizon task 5.6 tracks and the horizon 4.2 gates the treatment catalogue on</w:t>
            </w:r>
          </w:p>
        </w:tc>
        <w:tc>
          <w:tcPr>
            <w:tcW w:type="dxa" w:w="2948"/>
          </w:tcPr>
          <w:p>
            <w:pPr>
              <w:spacing w:after="20" w:before="20"/>
            </w:pPr>
            <w:r/>
            <w:r>
              <w:rPr>
                <w:b w:val="0"/>
                <w:sz w:val="14"/>
              </w:rPr>
              <w:t>WP5 trial reports</w:t>
            </w:r>
          </w:p>
        </w:tc>
      </w:tr>
      <w:tr>
        <w:trPr>
          <w:cantSplit/>
        </w:trPr>
        <w:tc>
          <w:tcPr>
            <w:tcW w:type="dxa" w:w="1814"/>
            <w:shd w:val="clear" w:fill="EAF4EF"/>
          </w:tcPr>
          <w:p>
            <w:pPr>
              <w:spacing w:after="20" w:before="20"/>
            </w:pPr>
            <w:r/>
            <w:r>
              <w:rPr>
                <w:b w:val="0"/>
                <w:sz w:val="14"/>
              </w:rPr>
              <w:t>Prevention</w:t>
            </w:r>
          </w:p>
        </w:tc>
        <w:tc>
          <w:tcPr>
            <w:tcW w:type="dxa" w:w="4309"/>
            <w:shd w:val="clear" w:fill="EAF4EF"/>
          </w:tcPr>
          <w:p>
            <w:pPr>
              <w:spacing w:after="20" w:before="20"/>
            </w:pPr>
            <w:r/>
            <w:r>
              <w:rPr>
                <w:b w:val="0"/>
                <w:sz w:val="14"/>
              </w:rPr>
              <w:t>≥ 50% transfer reduction vs baseline, with the capability cost of the monitorability tax reported rather than netted out</w:t>
            </w:r>
          </w:p>
        </w:tc>
        <w:tc>
          <w:tcPr>
            <w:tcW w:type="dxa" w:w="2948"/>
            <w:shd w:val="clear" w:fill="EAF4EF"/>
          </w:tcPr>
          <w:p>
            <w:pPr>
              <w:spacing w:after="20" w:before="20"/>
            </w:pPr>
            <w:r/>
            <w:r>
              <w:rPr>
                <w:b w:val="0"/>
                <w:sz w:val="14"/>
              </w:rPr>
              <w:t>WP6 build-in gate trials; task 6.5</w:t>
            </w:r>
          </w:p>
        </w:tc>
      </w:tr>
      <w:tr>
        <w:trPr>
          <w:cantSplit/>
        </w:trPr>
        <w:tc>
          <w:tcPr>
            <w:tcW w:type="dxa" w:w="1814"/>
          </w:tcPr>
          <w:p>
            <w:pPr>
              <w:spacing w:after="20" w:before="20"/>
            </w:pPr>
            <w:r/>
            <w:r>
              <w:rPr>
                <w:b w:val="0"/>
                <w:sz w:val="14"/>
              </w:rPr>
              <w:t>Reasoning-trace faithfulness</w:t>
            </w:r>
          </w:p>
        </w:tc>
        <w:tc>
          <w:tcPr>
            <w:tcW w:type="dxa" w:w="4309"/>
          </w:tcPr>
          <w:p>
            <w:pPr>
              <w:spacing w:after="20" w:before="20"/>
            </w:pPr>
            <w:r>
              <w:t>Intervention-based faithfulness measured on ≥ 3 reasoning families [29][30], with a monitored-versus-unmonitored comparison published [31]</w:t>
            </w:r>
            <w:r>
              <w:rPr>
                <w:b w:val="0"/>
                <w:sz w:val="14"/>
              </w:rPr>
            </w:r>
          </w:p>
        </w:tc>
        <w:tc>
          <w:tcPr>
            <w:tcW w:type="dxa" w:w="2948"/>
          </w:tcPr>
          <w:p>
            <w:pPr>
              <w:spacing w:after="20" w:before="20"/>
            </w:pPr>
            <w:r/>
            <w:r>
              <w:rPr>
                <w:b w:val="0"/>
                <w:sz w:val="14"/>
              </w:rPr>
              <w:t>WP2 faithfulness module (task 2.8)</w:t>
            </w:r>
          </w:p>
        </w:tc>
      </w:tr>
      <w:tr>
        <w:trPr>
          <w:cantSplit/>
        </w:trPr>
        <w:tc>
          <w:tcPr>
            <w:tcW w:type="dxa" w:w="1814"/>
            <w:shd w:val="clear" w:fill="EAF4EF"/>
          </w:tcPr>
          <w:p>
            <w:pPr>
              <w:spacing w:after="20" w:before="20"/>
            </w:pPr>
            <w:r/>
            <w:r>
              <w:rPr>
                <w:b w:val="0"/>
                <w:sz w:val="14"/>
              </w:rPr>
              <w:t>Agentic coverage</w:t>
            </w:r>
          </w:p>
        </w:tc>
        <w:tc>
          <w:tcPr>
            <w:tcW w:type="dxa" w:w="4309"/>
            <w:shd w:val="clear" w:fill="EAF4EF"/>
          </w:tcPr>
          <w:p>
            <w:pPr>
              <w:spacing w:after="20" w:before="20"/>
            </w:pPr>
            <w:r/>
            <w:r>
              <w:rPr>
                <w:b w:val="0"/>
                <w:sz w:val="14"/>
              </w:rPr>
              <w:t>T-77–T-81 scored from instrumentation the agent cannot reach, on ≥ 2 partner deployments</w:t>
            </w:r>
          </w:p>
        </w:tc>
        <w:tc>
          <w:tcPr>
            <w:tcW w:type="dxa" w:w="2948"/>
            <w:shd w:val="clear" w:fill="EAF4EF"/>
          </w:tcPr>
          <w:p>
            <w:pPr>
              <w:spacing w:after="20" w:before="20"/>
            </w:pPr>
            <w:r/>
            <w:r>
              <w:rPr>
                <w:b w:val="0"/>
                <w:sz w:val="14"/>
              </w:rPr>
              <w:t>WP8 field reports (task 8.5)</w:t>
            </w:r>
          </w:p>
        </w:tc>
      </w:tr>
      <w:tr>
        <w:trPr>
          <w:cantSplit/>
        </w:trPr>
        <w:tc>
          <w:tcPr>
            <w:tcW w:type="dxa" w:w="1814"/>
          </w:tcPr>
          <w:p>
            <w:pPr>
              <w:spacing w:after="20" w:before="20"/>
            </w:pPr>
            <w:r/>
            <w:r>
              <w:rPr>
                <w:b w:val="0"/>
                <w:sz w:val="14"/>
              </w:rPr>
              <w:t>Standards operability</w:t>
            </w:r>
          </w:p>
        </w:tc>
        <w:tc>
          <w:tcPr>
            <w:tcW w:type="dxa" w:w="4309"/>
          </w:tcPr>
          <w:p>
            <w:pPr>
              <w:spacing w:after="20" w:before="20"/>
            </w:pPr>
            <w:r/>
            <w:r>
              <w:rPr>
                <w:b w:val="0"/>
                <w:sz w:val="14"/>
              </w:rPr>
              <w:t>Every clause pass/fail on ≥ 3 families, agreement ≥ 0.80</w:t>
            </w:r>
          </w:p>
        </w:tc>
        <w:tc>
          <w:tcPr>
            <w:tcW w:type="dxa" w:w="2948"/>
          </w:tcPr>
          <w:p>
            <w:pPr>
              <w:spacing w:after="20" w:before="20"/>
            </w:pPr>
            <w:r/>
            <w:r>
              <w:rPr>
                <w:b w:val="0"/>
                <w:sz w:val="14"/>
              </w:rPr>
              <w:t>WP7 clause validation</w:t>
            </w:r>
          </w:p>
        </w:tc>
      </w:tr>
      <w:tr>
        <w:trPr>
          <w:cantSplit/>
        </w:trPr>
        <w:tc>
          <w:tcPr>
            <w:tcW w:type="dxa" w:w="1814"/>
            <w:shd w:val="clear" w:fill="EAF4EF"/>
          </w:tcPr>
          <w:p>
            <w:pPr>
              <w:spacing w:after="20" w:before="20"/>
            </w:pPr>
            <w:r/>
            <w:r>
              <w:rPr>
                <w:b w:val="0"/>
                <w:sz w:val="14"/>
              </w:rPr>
              <w:t>Adoption</w:t>
            </w:r>
          </w:p>
        </w:tc>
        <w:tc>
          <w:tcPr>
            <w:tcW w:type="dxa" w:w="4309"/>
            <w:shd w:val="clear" w:fill="EAF4EF"/>
          </w:tcPr>
          <w:p>
            <w:pPr>
              <w:spacing w:after="20" w:before="20"/>
            </w:pPr>
            <w:r/>
            <w:r>
              <w:rPr>
                <w:b w:val="0"/>
                <w:sz w:val="14"/>
              </w:rPr>
              <w:t>2 regulatory sandbox pilots (task 7.6, D27) and 1 voluntary vendor certification, in the Core and Full scenarios; the Lean scenario funds neither and says so in 5.2</w:t>
            </w:r>
          </w:p>
        </w:tc>
        <w:tc>
          <w:tcPr>
            <w:tcW w:type="dxa" w:w="2948"/>
            <w:shd w:val="clear" w:fill="EAF4EF"/>
          </w:tcPr>
          <w:p>
            <w:pPr>
              <w:spacing w:after="20" w:before="20"/>
            </w:pPr>
            <w:r/>
            <w:r>
              <w:rPr>
                <w:b w:val="0"/>
                <w:sz w:val="14"/>
              </w:rPr>
              <w:t>WP7/WP8 pilot reports</w:t>
            </w:r>
          </w:p>
        </w:tc>
      </w:tr>
      <w:tr>
        <w:trPr>
          <w:cantSplit/>
        </w:trPr>
        <w:tc>
          <w:tcPr>
            <w:tcW w:type="dxa" w:w="1814"/>
          </w:tcPr>
          <w:p>
            <w:pPr>
              <w:spacing w:after="20" w:before="20"/>
            </w:pPr>
            <w:r/>
            <w:r>
              <w:rPr>
                <w:b w:val="0"/>
                <w:sz w:val="14"/>
              </w:rPr>
              <w:t>Open science</w:t>
            </w:r>
          </w:p>
        </w:tc>
        <w:tc>
          <w:tcPr>
            <w:tcW w:type="dxa" w:w="4309"/>
          </w:tcPr>
          <w:p>
            <w:pPr>
              <w:spacing w:after="20" w:before="20"/>
            </w:pPr>
            <w:r>
              <w:t>All non-sensitive outputs released with DOIs under FAIR practice [28]; negative-results register ≥ 20 entries</w:t>
            </w:r>
            <w:r>
              <w:rPr>
                <w:b w:val="0"/>
                <w:sz w:val="14"/>
              </w:rPr>
            </w:r>
          </w:p>
        </w:tc>
        <w:tc>
          <w:tcPr>
            <w:tcW w:type="dxa" w:w="2948"/>
          </w:tcPr>
          <w:p>
            <w:pPr>
              <w:spacing w:after="20" w:before="20"/>
            </w:pPr>
            <w:r/>
            <w:r>
              <w:rPr>
                <w:b w:val="0"/>
                <w:sz w:val="14"/>
              </w:rPr>
              <w:t>WP9 releases</w:t>
            </w:r>
          </w:p>
        </w:tc>
      </w:tr>
    </w:tbl>
    <w:p>
      <w:pPr>
        <w:spacing w:after="100"/>
      </w:pPr>
      <w:r>
        <w:rPr>
          <w:b w:val="0"/>
          <w:i/>
          <w:sz w:val="16"/>
        </w:rPr>
        <w:t>Table — the success criteria of the Core scenario, which is the scenario the programme recommends. Lean funds neither regulatory pilot, one partner deployment rather than two, and a reduced reproducibility reserve; 5.2 gives the differences line by line and 9 says which quality rules the Lean scenario trades away.</w:t>
      </w:r>
    </w:p>
    <w:tbl>
      <w:tblPr>
        <w:tblW w:type="auto" w:w="0"/>
        <w:tblLook w:firstColumn="1" w:firstRow="1" w:lastColumn="0" w:lastRow="0" w:noHBand="0" w:noVBand="1" w:val="04A0"/>
      </w:tblPr>
      <w:tblGrid>
        <w:gridCol w:w="9638"/>
      </w:tblGrid>
      <w:tr>
        <w:tc>
          <w:tcPr>
            <w:tcW w:type="dxa" w:w="9638"/>
            <w:shd w:val="clear" w:fill="F8F1E5"/>
            <w:tcBorders>
              <w:left w:val="single" w:sz="24" w:color="E8A13D"/>
            </w:tcBorders>
          </w:tcPr>
          <w:p>
            <w:r/>
            <w:r>
              <w:rPr>
                <w:b/>
                <w:color w:val="14443C"/>
                <w:sz w:val="19"/>
              </w:rPr>
              <w:t>H3, and why the denominator is not ninety</w:t>
            </w:r>
          </w:p>
          <w:p>
            <w:pPr>
              <w:spacing w:after="20"/>
            </w:pPr>
            <w:r>
              <w:rPr>
                <w:sz w:val="18"/>
              </w:rPr>
              <w:t>H3 (recalibrated for ninety entries). At least 51 of the 85 entries that a funded differential battery reaches separate empirically — 60 per cent, the proportion v1.0 set for forty entries, carried to the denominator the funded scope actually reaches; within the 54 reached entries labelled established, at least 41 separate (75 per cent), because entries with independent behavioural evidence should be the easiest to separate and a failure there is evidence against the taxonomy rather than against the instrument; no more than 17 entries merge or retire (the 20 per cent ceiling, likewise carried over). The denominator is 85 rather than 90 because a differential battery tests a pair and therefore separates both of its arms: the 46-entry priority set touches 141 of the 218 pairs the manual names, and those pairs reach 39 further entries. Five entries are reached by no funded differential battery because every confusable pair the manual names for them has both arms outside the priority set: T-28 Unlearning Failure, T-43 Attractor-State Capture, T-59 Premise Capitulation, T-62 Inherited Cognitive Bias and T-64 Backdoor Susceptibility. All five carry an established label, so the gap is in coverage rather than in evidence, and each is a candidate for the first scope increase if the programme is funded above the Core scenario.</w:t>
            </w:r>
          </w:p>
        </w:tc>
      </w:tr>
    </w:tbl>
    <w:p>
      <w:pPr>
        <w:spacing w:after="60"/>
      </w:pPr>
    </w:p>
    <w:p>
      <w:pPr>
        <w:spacing w:after="100"/>
      </w:pPr>
      <w:r>
        <w:rPr>
          <w:b w:val="0"/>
          <w:i w:val="0"/>
          <w:sz w:val="19"/>
        </w:rPr>
        <w:t>An earlier draft of this edition stated H3 as ≥ 54 of 90 entries separating and ≥ 45 of the 59 established ones, which was the v1.0 proportion applied to the new catalogue. It was unsatisfiable under this plan's own scope. Differential batteries are funded for 46 entries, of which 15 carry an established label, so the second threshold demanded three times more established separations than the funded design could produce even if every battery succeeded. A hypothesis a study cannot satisfy at any outcome is an error and not a stretch target, and correcting it is the reason the thresholds in the table above differ from the ones the earlier draft carried.</w:t>
      </w:r>
    </w:p>
    <w:p>
      <w:pPr>
        <w:pStyle w:val="Heading1"/>
      </w:pPr>
      <w:r>
        <w:t>3. Deliverable catalogue</w:t>
      </w:r>
    </w:p>
    <w:p>
      <w:pPr>
        <w:spacing w:before="0" w:after="140" w:line="40" w:lineRule="exact"/>
        <w:pBdr>
          <w:bottom w:val="single" w:sz="16" w:space="0" w:color="E8A13D"/>
        </w:pBdr>
      </w:pPr>
      <w:r>
        <w:rPr>
          <w:sz w:val="2"/>
        </w:rPr>
      </w:r>
    </w:p>
    <w:p>
      <w:pPr>
        <w:spacing w:after="100"/>
      </w:pPr>
      <w:r>
        <w:rPr>
          <w:b w:val="0"/>
          <w:i w:val="0"/>
          <w:sz w:val="19"/>
        </w:rPr>
        <w:t>Thirty-eight deliverables, grouped by workstream. Each has a form, a licence, a target quarter and — new in v1.1 — the identifier of the task in 4.4 that produces it. The target quarter is derived from that task's end date rather than typed, which is the correction: in v1.0 the quarters were typed, and several of them could not be reconciled with the work that produces them under any reading of the year labels. The catalogue is otherwise unchanged in v1.1: the three groups the field manual added are new work, not new products, and 3.1 says which existing deliverable carries each of them.</w:t>
      </w:r>
    </w:p>
    <w:p>
      <w:pPr>
        <w:spacing w:after="100"/>
      </w:pPr>
      <w:r>
        <w:rPr>
          <w:b w:val="0"/>
          <w:i/>
          <w:sz w:val="16"/>
        </w:rPr>
        <w:t>Quarters are counted from the October 2026 kick-off baseline, so Y1 Q1 is October to December 2026 and Y1 Q2 is January to March 2027. Section 4.3 explains why the baseline is no longer an available date and how to read every year label in this plan as an offset.</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cantSplit/>
        </w:trPr>
        <w:tc>
          <w:tcPr>
            <w:tcW w:type="dxa" w:w="510"/>
            <w:shd w:val="clear" w:fill="0F2622"/>
          </w:tcPr>
          <w:p>
            <w:pPr>
              <w:spacing w:after="20" w:before="20"/>
            </w:pPr>
            <w:r/>
            <w:r>
              <w:rPr>
                <w:b/>
                <w:color w:val="FFFFFF"/>
                <w:sz w:val="13"/>
              </w:rPr>
              <w:t>ID</w:t>
            </w:r>
          </w:p>
        </w:tc>
        <w:tc>
          <w:tcPr>
            <w:tcW w:type="dxa" w:w="3912"/>
            <w:shd w:val="clear" w:fill="0F2622"/>
          </w:tcPr>
          <w:p>
            <w:pPr>
              <w:spacing w:after="20" w:before="20"/>
            </w:pPr>
            <w:r/>
            <w:r>
              <w:rPr>
                <w:b/>
                <w:color w:val="FFFFFF"/>
                <w:sz w:val="13"/>
              </w:rPr>
              <w:t>Deliverable</w:t>
            </w:r>
          </w:p>
        </w:tc>
        <w:tc>
          <w:tcPr>
            <w:tcW w:type="dxa" w:w="510"/>
            <w:shd w:val="clear" w:fill="0F2622"/>
          </w:tcPr>
          <w:p>
            <w:pPr>
              <w:spacing w:after="20" w:before="20"/>
            </w:pPr>
            <w:r/>
            <w:r>
              <w:rPr>
                <w:b/>
                <w:color w:val="FFFFFF"/>
                <w:sz w:val="13"/>
              </w:rPr>
              <w:t>WP</w:t>
            </w:r>
          </w:p>
        </w:tc>
        <w:tc>
          <w:tcPr>
            <w:tcW w:type="dxa" w:w="907"/>
            <w:shd w:val="clear" w:fill="0F2622"/>
          </w:tcPr>
          <w:p>
            <w:pPr>
              <w:spacing w:after="20" w:before="20"/>
            </w:pPr>
            <w:r/>
            <w:r>
              <w:rPr>
                <w:b/>
                <w:color w:val="FFFFFF"/>
                <w:sz w:val="13"/>
              </w:rPr>
              <w:t>Produced by</w:t>
            </w:r>
          </w:p>
        </w:tc>
        <w:tc>
          <w:tcPr>
            <w:tcW w:type="dxa" w:w="1191"/>
            <w:shd w:val="clear" w:fill="0F2622"/>
          </w:tcPr>
          <w:p>
            <w:pPr>
              <w:spacing w:after="20" w:before="20"/>
            </w:pPr>
            <w:r/>
            <w:r>
              <w:rPr>
                <w:b/>
                <w:color w:val="FFFFFF"/>
                <w:sz w:val="13"/>
              </w:rPr>
              <w:t>Target</w:t>
            </w:r>
          </w:p>
        </w:tc>
        <w:tc>
          <w:tcPr>
            <w:tcW w:type="dxa" w:w="1928"/>
            <w:shd w:val="clear" w:fill="0F2622"/>
          </w:tcPr>
          <w:p>
            <w:pPr>
              <w:spacing w:after="20" w:before="20"/>
            </w:pPr>
            <w:r/>
            <w:r>
              <w:rPr>
                <w:b/>
                <w:color w:val="FFFFFF"/>
                <w:sz w:val="13"/>
              </w:rPr>
              <w:t>Licence / form</w:t>
            </w:r>
          </w:p>
        </w:tc>
      </w:tr>
      <w:tr>
        <w:trPr>
          <w:cantSplit/>
        </w:trPr>
        <w:tc>
          <w:tcPr>
            <w:tcW w:type="dxa" w:w="510"/>
          </w:tcPr>
          <w:p>
            <w:pPr>
              <w:spacing w:after="20" w:before="20"/>
            </w:pPr>
            <w:r/>
            <w:r>
              <w:rPr>
                <w:b w:val="0"/>
                <w:sz w:val="13"/>
              </w:rPr>
              <w:t>D1</w:t>
            </w:r>
          </w:p>
        </w:tc>
        <w:tc>
          <w:tcPr>
            <w:tcW w:type="dxa" w:w="3912"/>
          </w:tcPr>
          <w:p>
            <w:pPr>
              <w:spacing w:after="20" w:before="20"/>
            </w:pPr>
            <w:r/>
            <w:r>
              <w:rPr>
                <w:b w:val="0"/>
                <w:sz w:val="13"/>
              </w:rPr>
              <w:t>Governance handbook, charter, authorship &amp; integrity policy</w:t>
            </w:r>
          </w:p>
        </w:tc>
        <w:tc>
          <w:tcPr>
            <w:tcW w:type="dxa" w:w="510"/>
          </w:tcPr>
          <w:p>
            <w:pPr>
              <w:spacing w:after="20" w:before="20"/>
            </w:pPr>
            <w:r/>
            <w:r>
              <w:rPr>
                <w:b w:val="0"/>
                <w:sz w:val="13"/>
              </w:rPr>
              <w:t>WP1</w:t>
            </w:r>
          </w:p>
        </w:tc>
        <w:tc>
          <w:tcPr>
            <w:tcW w:type="dxa" w:w="907"/>
          </w:tcPr>
          <w:p>
            <w:pPr>
              <w:spacing w:after="20" w:before="20"/>
            </w:pPr>
            <w:r/>
            <w:r>
              <w:rPr>
                <w:b w:val="0"/>
                <w:sz w:val="13"/>
              </w:rPr>
              <w:t>1.1</w:t>
            </w:r>
          </w:p>
        </w:tc>
        <w:tc>
          <w:tcPr>
            <w:tcW w:type="dxa" w:w="1191"/>
          </w:tcPr>
          <w:p>
            <w:pPr>
              <w:spacing w:after="20" w:before="20"/>
            </w:pPr>
            <w:r/>
            <w:r>
              <w:rPr>
                <w:b w:val="0"/>
                <w:sz w:val="13"/>
              </w:rPr>
              <w:t>Y1 Q1 (Dec 2026)</w:t>
            </w:r>
          </w:p>
        </w:tc>
        <w:tc>
          <w:tcPr>
            <w:tcW w:type="dxa" w:w="1928"/>
          </w:tcPr>
          <w:p>
            <w:pPr>
              <w:spacing w:after="20" w:before="20"/>
            </w:pPr>
            <w:r/>
            <w:r>
              <w:rPr>
                <w:b w:val="0"/>
                <w:sz w:val="13"/>
              </w:rPr>
              <w:t>CC BY</w:t>
            </w:r>
          </w:p>
        </w:tc>
      </w:tr>
      <w:tr>
        <w:trPr>
          <w:cantSplit/>
        </w:trPr>
        <w:tc>
          <w:tcPr>
            <w:tcW w:type="dxa" w:w="510"/>
            <w:shd w:val="clear" w:fill="EAF4EF"/>
          </w:tcPr>
          <w:p>
            <w:pPr>
              <w:spacing w:after="20" w:before="20"/>
            </w:pPr>
            <w:r/>
            <w:r>
              <w:rPr>
                <w:b w:val="0"/>
                <w:sz w:val="13"/>
              </w:rPr>
              <w:t>D2</w:t>
            </w:r>
          </w:p>
        </w:tc>
        <w:tc>
          <w:tcPr>
            <w:tcW w:type="dxa" w:w="3912"/>
            <w:shd w:val="clear" w:fill="EAF4EF"/>
          </w:tcPr>
          <w:p>
            <w:pPr>
              <w:spacing w:after="20" w:before="20"/>
            </w:pPr>
            <w:r/>
            <w:r>
              <w:rPr>
                <w:b w:val="0"/>
                <w:sz w:val="13"/>
              </w:rPr>
              <w:t>Scoping-review corpus (2 peer-reviewed reviews)</w:t>
            </w:r>
          </w:p>
        </w:tc>
        <w:tc>
          <w:tcPr>
            <w:tcW w:type="dxa" w:w="510"/>
            <w:shd w:val="clear" w:fill="EAF4EF"/>
          </w:tcPr>
          <w:p>
            <w:pPr>
              <w:spacing w:after="20" w:before="20"/>
            </w:pPr>
            <w:r/>
            <w:r>
              <w:rPr>
                <w:b w:val="0"/>
                <w:sz w:val="13"/>
              </w:rPr>
              <w:t>WP1</w:t>
            </w:r>
          </w:p>
        </w:tc>
        <w:tc>
          <w:tcPr>
            <w:tcW w:type="dxa" w:w="907"/>
            <w:shd w:val="clear" w:fill="EAF4EF"/>
          </w:tcPr>
          <w:p>
            <w:pPr>
              <w:spacing w:after="20" w:before="20"/>
            </w:pPr>
            <w:r/>
            <w:r>
              <w:rPr>
                <w:b w:val="0"/>
                <w:sz w:val="13"/>
              </w:rPr>
              <w:t>1.2</w:t>
            </w:r>
          </w:p>
        </w:tc>
        <w:tc>
          <w:tcPr>
            <w:tcW w:type="dxa" w:w="1191"/>
            <w:shd w:val="clear" w:fill="EAF4EF"/>
          </w:tcPr>
          <w:p>
            <w:pPr>
              <w:spacing w:after="20" w:before="20"/>
            </w:pPr>
            <w:r/>
            <w:r>
              <w:rPr>
                <w:b w:val="0"/>
                <w:sz w:val="13"/>
              </w:rPr>
              <w:t>Y1 Q2 (Mar 2027)</w:t>
            </w:r>
          </w:p>
        </w:tc>
        <w:tc>
          <w:tcPr>
            <w:tcW w:type="dxa" w:w="1928"/>
            <w:shd w:val="clear" w:fill="EAF4EF"/>
          </w:tcPr>
          <w:p>
            <w:pPr>
              <w:spacing w:after="20" w:before="20"/>
            </w:pPr>
            <w:r/>
            <w:r>
              <w:rPr>
                <w:b w:val="0"/>
                <w:sz w:val="13"/>
              </w:rPr>
              <w:t>CC BY</w:t>
            </w:r>
          </w:p>
        </w:tc>
      </w:tr>
      <w:tr>
        <w:trPr>
          <w:cantSplit/>
        </w:trPr>
        <w:tc>
          <w:tcPr>
            <w:tcW w:type="dxa" w:w="510"/>
          </w:tcPr>
          <w:p>
            <w:pPr>
              <w:spacing w:after="20" w:before="20"/>
            </w:pPr>
            <w:r/>
            <w:r>
              <w:rPr>
                <w:b w:val="0"/>
                <w:sz w:val="13"/>
              </w:rPr>
              <w:t>D3</w:t>
            </w:r>
          </w:p>
        </w:tc>
        <w:tc>
          <w:tcPr>
            <w:tcW w:type="dxa" w:w="3912"/>
          </w:tcPr>
          <w:p>
            <w:pPr>
              <w:spacing w:after="20" w:before="20"/>
            </w:pPr>
            <w:r/>
            <w:r>
              <w:rPr>
                <w:b w:val="0"/>
                <w:sz w:val="13"/>
              </w:rPr>
              <w:t>Preregistration template, SAP, frozen tooling</w:t>
            </w:r>
          </w:p>
        </w:tc>
        <w:tc>
          <w:tcPr>
            <w:tcW w:type="dxa" w:w="510"/>
          </w:tcPr>
          <w:p>
            <w:pPr>
              <w:spacing w:after="20" w:before="20"/>
            </w:pPr>
            <w:r/>
            <w:r>
              <w:rPr>
                <w:b w:val="0"/>
                <w:sz w:val="13"/>
              </w:rPr>
              <w:t>WP1</w:t>
            </w:r>
          </w:p>
        </w:tc>
        <w:tc>
          <w:tcPr>
            <w:tcW w:type="dxa" w:w="907"/>
          </w:tcPr>
          <w:p>
            <w:pPr>
              <w:spacing w:after="20" w:before="20"/>
            </w:pPr>
            <w:r/>
            <w:r>
              <w:rPr>
                <w:b w:val="0"/>
                <w:sz w:val="13"/>
              </w:rPr>
              <w:t>1.3</w:t>
            </w:r>
          </w:p>
        </w:tc>
        <w:tc>
          <w:tcPr>
            <w:tcW w:type="dxa" w:w="1191"/>
          </w:tcPr>
          <w:p>
            <w:pPr>
              <w:spacing w:after="20" w:before="20"/>
            </w:pPr>
            <w:r/>
            <w:r>
              <w:rPr>
                <w:b w:val="0"/>
                <w:sz w:val="13"/>
              </w:rPr>
              <w:t>Y1 Q3 (Apr 2027)</w:t>
            </w:r>
          </w:p>
        </w:tc>
        <w:tc>
          <w:tcPr>
            <w:tcW w:type="dxa" w:w="1928"/>
          </w:tcPr>
          <w:p>
            <w:pPr>
              <w:spacing w:after="20" w:before="20"/>
            </w:pPr>
            <w:r/>
            <w:r>
              <w:rPr>
                <w:b w:val="0"/>
                <w:sz w:val="13"/>
              </w:rPr>
              <w:t>CC0 / MIT</w:t>
            </w:r>
          </w:p>
        </w:tc>
      </w:tr>
      <w:tr>
        <w:trPr>
          <w:cantSplit/>
        </w:trPr>
        <w:tc>
          <w:tcPr>
            <w:tcW w:type="dxa" w:w="510"/>
            <w:shd w:val="clear" w:fill="EAF4EF"/>
          </w:tcPr>
          <w:p>
            <w:pPr>
              <w:spacing w:after="20" w:before="20"/>
            </w:pPr>
            <w:r/>
            <w:r>
              <w:rPr>
                <w:b w:val="0"/>
                <w:sz w:val="13"/>
              </w:rPr>
              <w:t>D4</w:t>
            </w:r>
          </w:p>
        </w:tc>
        <w:tc>
          <w:tcPr>
            <w:tcW w:type="dxa" w:w="3912"/>
            <w:shd w:val="clear" w:fill="EAF4EF"/>
          </w:tcPr>
          <w:p>
            <w:pPr>
              <w:spacing w:after="20" w:before="20"/>
            </w:pPr>
            <w:r/>
            <w:r>
              <w:rPr>
                <w:b w:val="0"/>
                <w:sz w:val="13"/>
              </w:rPr>
              <w:t>Annual open-science audit reports (5 editions)</w:t>
            </w:r>
          </w:p>
        </w:tc>
        <w:tc>
          <w:tcPr>
            <w:tcW w:type="dxa" w:w="510"/>
            <w:shd w:val="clear" w:fill="EAF4EF"/>
          </w:tcPr>
          <w:p>
            <w:pPr>
              <w:spacing w:after="20" w:before="20"/>
            </w:pPr>
            <w:r/>
            <w:r>
              <w:rPr>
                <w:b w:val="0"/>
                <w:sz w:val="13"/>
              </w:rPr>
              <w:t>WP1</w:t>
            </w:r>
          </w:p>
        </w:tc>
        <w:tc>
          <w:tcPr>
            <w:tcW w:type="dxa" w:w="907"/>
            <w:shd w:val="clear" w:fill="EAF4EF"/>
          </w:tcPr>
          <w:p>
            <w:pPr>
              <w:spacing w:after="20" w:before="20"/>
            </w:pPr>
            <w:r/>
            <w:r>
              <w:rPr>
                <w:b w:val="0"/>
                <w:sz w:val="13"/>
              </w:rPr>
              <w:t>1.5</w:t>
            </w:r>
          </w:p>
        </w:tc>
        <w:tc>
          <w:tcPr>
            <w:tcW w:type="dxa" w:w="1191"/>
            <w:shd w:val="clear" w:fill="EAF4EF"/>
          </w:tcPr>
          <w:p>
            <w:pPr>
              <w:spacing w:after="20" w:before="20"/>
            </w:pPr>
            <w:r/>
            <w:r>
              <w:rPr>
                <w:b w:val="0"/>
                <w:sz w:val="13"/>
              </w:rPr>
              <w:t>rolling</w:t>
            </w:r>
          </w:p>
        </w:tc>
        <w:tc>
          <w:tcPr>
            <w:tcW w:type="dxa" w:w="1928"/>
            <w:shd w:val="clear" w:fill="EAF4EF"/>
          </w:tcPr>
          <w:p>
            <w:pPr>
              <w:spacing w:after="20" w:before="20"/>
            </w:pPr>
            <w:r/>
            <w:r>
              <w:rPr>
                <w:b w:val="0"/>
                <w:sz w:val="13"/>
              </w:rPr>
              <w:t>CC BY</w:t>
            </w:r>
          </w:p>
        </w:tc>
      </w:tr>
      <w:tr>
        <w:trPr>
          <w:cantSplit/>
        </w:trPr>
        <w:tc>
          <w:tcPr>
            <w:tcW w:type="dxa" w:w="510"/>
          </w:tcPr>
          <w:p>
            <w:pPr>
              <w:spacing w:after="20" w:before="20"/>
            </w:pPr>
            <w:r/>
            <w:r>
              <w:rPr>
                <w:b w:val="0"/>
                <w:sz w:val="13"/>
              </w:rPr>
              <w:t>D5</w:t>
            </w:r>
          </w:p>
        </w:tc>
        <w:tc>
          <w:tcPr>
            <w:tcW w:type="dxa" w:w="3912"/>
          </w:tcPr>
          <w:p>
            <w:pPr>
              <w:spacing w:after="20" w:before="20"/>
            </w:pPr>
            <w:r/>
            <w:r>
              <w:rPr>
                <w:b w:val="0"/>
                <w:sz w:val="13"/>
              </w:rPr>
              <w:t>SCT-2.0 item bank + manual (360 items, ten axis constructs)</w:t>
            </w:r>
          </w:p>
        </w:tc>
        <w:tc>
          <w:tcPr>
            <w:tcW w:type="dxa" w:w="510"/>
          </w:tcPr>
          <w:p>
            <w:pPr>
              <w:spacing w:after="20" w:before="20"/>
            </w:pPr>
            <w:r/>
            <w:r>
              <w:rPr>
                <w:b w:val="0"/>
                <w:sz w:val="13"/>
              </w:rPr>
              <w:t>WP2</w:t>
            </w:r>
          </w:p>
        </w:tc>
        <w:tc>
          <w:tcPr>
            <w:tcW w:type="dxa" w:w="907"/>
          </w:tcPr>
          <w:p>
            <w:pPr>
              <w:spacing w:after="20" w:before="20"/>
            </w:pPr>
            <w:r/>
            <w:r>
              <w:rPr>
                <w:b w:val="0"/>
                <w:sz w:val="13"/>
              </w:rPr>
              <w:t>2.7</w:t>
            </w:r>
          </w:p>
        </w:tc>
        <w:tc>
          <w:tcPr>
            <w:tcW w:type="dxa" w:w="1191"/>
          </w:tcPr>
          <w:p>
            <w:pPr>
              <w:spacing w:after="20" w:before="20"/>
            </w:pPr>
            <w:r/>
            <w:r>
              <w:rPr>
                <w:b w:val="0"/>
                <w:sz w:val="13"/>
              </w:rPr>
              <w:t>Y3 Q3 (Jun 2029)</w:t>
            </w:r>
          </w:p>
        </w:tc>
        <w:tc>
          <w:tcPr>
            <w:tcW w:type="dxa" w:w="1928"/>
          </w:tcPr>
          <w:p>
            <w:pPr>
              <w:spacing w:after="20" w:before="20"/>
            </w:pPr>
            <w:r/>
            <w:r>
              <w:rPr>
                <w:b w:val="0"/>
                <w:sz w:val="13"/>
              </w:rPr>
              <w:t>CC BY-SA</w:t>
            </w:r>
          </w:p>
        </w:tc>
      </w:tr>
      <w:tr>
        <w:trPr>
          <w:cantSplit/>
        </w:trPr>
        <w:tc>
          <w:tcPr>
            <w:tcW w:type="dxa" w:w="510"/>
            <w:shd w:val="clear" w:fill="EAF4EF"/>
          </w:tcPr>
          <w:p>
            <w:pPr>
              <w:spacing w:after="20" w:before="20"/>
            </w:pPr>
            <w:r/>
            <w:r>
              <w:rPr>
                <w:b w:val="0"/>
                <w:sz w:val="13"/>
              </w:rPr>
              <w:t>D6</w:t>
            </w:r>
          </w:p>
        </w:tc>
        <w:tc>
          <w:tcPr>
            <w:tcW w:type="dxa" w:w="3912"/>
            <w:shd w:val="clear" w:fill="EAF4EF"/>
          </w:tcPr>
          <w:p>
            <w:pPr>
              <w:spacing w:after="20" w:before="20"/>
            </w:pPr>
            <w:r/>
            <w:r>
              <w:rPr>
                <w:b w:val="0"/>
                <w:sz w:val="13"/>
              </w:rPr>
              <w:t>IRT calibration tables + scoring kit</w:t>
            </w:r>
          </w:p>
        </w:tc>
        <w:tc>
          <w:tcPr>
            <w:tcW w:type="dxa" w:w="510"/>
            <w:shd w:val="clear" w:fill="EAF4EF"/>
          </w:tcPr>
          <w:p>
            <w:pPr>
              <w:spacing w:after="20" w:before="20"/>
            </w:pPr>
            <w:r/>
            <w:r>
              <w:rPr>
                <w:b w:val="0"/>
                <w:sz w:val="13"/>
              </w:rPr>
              <w:t>WP2</w:t>
            </w:r>
          </w:p>
        </w:tc>
        <w:tc>
          <w:tcPr>
            <w:tcW w:type="dxa" w:w="907"/>
            <w:shd w:val="clear" w:fill="EAF4EF"/>
          </w:tcPr>
          <w:p>
            <w:pPr>
              <w:spacing w:after="20" w:before="20"/>
            </w:pPr>
            <w:r/>
            <w:r>
              <w:rPr>
                <w:b w:val="0"/>
                <w:sz w:val="13"/>
              </w:rPr>
              <w:t>2.7</w:t>
            </w:r>
          </w:p>
        </w:tc>
        <w:tc>
          <w:tcPr>
            <w:tcW w:type="dxa" w:w="1191"/>
            <w:shd w:val="clear" w:fill="EAF4EF"/>
          </w:tcPr>
          <w:p>
            <w:pPr>
              <w:spacing w:after="20" w:before="20"/>
            </w:pPr>
            <w:r/>
            <w:r>
              <w:rPr>
                <w:b w:val="0"/>
                <w:sz w:val="13"/>
              </w:rPr>
              <w:t>Y3 Q3 (Jun 2029)</w:t>
            </w:r>
          </w:p>
        </w:tc>
        <w:tc>
          <w:tcPr>
            <w:tcW w:type="dxa" w:w="1928"/>
            <w:shd w:val="clear" w:fill="EAF4EF"/>
          </w:tcPr>
          <w:p>
            <w:pPr>
              <w:spacing w:after="20" w:before="20"/>
            </w:pPr>
            <w:r/>
            <w:r>
              <w:rPr>
                <w:b w:val="0"/>
                <w:sz w:val="13"/>
              </w:rPr>
              <w:t>CC BY</w:t>
            </w:r>
          </w:p>
        </w:tc>
      </w:tr>
      <w:tr>
        <w:trPr>
          <w:cantSplit/>
        </w:trPr>
        <w:tc>
          <w:tcPr>
            <w:tcW w:type="dxa" w:w="510"/>
          </w:tcPr>
          <w:p>
            <w:pPr>
              <w:spacing w:after="20" w:before="20"/>
            </w:pPr>
            <w:r/>
            <w:r>
              <w:rPr>
                <w:b w:val="0"/>
                <w:sz w:val="13"/>
              </w:rPr>
              <w:t>D7</w:t>
            </w:r>
          </w:p>
        </w:tc>
        <w:tc>
          <w:tcPr>
            <w:tcW w:type="dxa" w:w="3912"/>
          </w:tcPr>
          <w:p>
            <w:pPr>
              <w:spacing w:after="20" w:before="20"/>
            </w:pPr>
            <w:r/>
            <w:r>
              <w:rPr>
                <w:b w:val="0"/>
                <w:sz w:val="13"/>
              </w:rPr>
              <w:t>Validation reports (CFA, invariance, reliability, trace faithfulness)</w:t>
            </w:r>
          </w:p>
        </w:tc>
        <w:tc>
          <w:tcPr>
            <w:tcW w:type="dxa" w:w="510"/>
          </w:tcPr>
          <w:p>
            <w:pPr>
              <w:spacing w:after="20" w:before="20"/>
            </w:pPr>
            <w:r/>
            <w:r>
              <w:rPr>
                <w:b w:val="0"/>
                <w:sz w:val="13"/>
              </w:rPr>
              <w:t>WP2</w:t>
            </w:r>
          </w:p>
        </w:tc>
        <w:tc>
          <w:tcPr>
            <w:tcW w:type="dxa" w:w="907"/>
          </w:tcPr>
          <w:p>
            <w:pPr>
              <w:spacing w:after="20" w:before="20"/>
            </w:pPr>
            <w:r/>
            <w:r>
              <w:rPr>
                <w:b w:val="0"/>
                <w:sz w:val="13"/>
              </w:rPr>
              <w:t>2.5, 2.6, 2.8</w:t>
            </w:r>
          </w:p>
        </w:tc>
        <w:tc>
          <w:tcPr>
            <w:tcW w:type="dxa" w:w="1191"/>
          </w:tcPr>
          <w:p>
            <w:pPr>
              <w:spacing w:after="20" w:before="20"/>
            </w:pPr>
            <w:r/>
            <w:r>
              <w:rPr>
                <w:b w:val="0"/>
                <w:sz w:val="13"/>
              </w:rPr>
              <w:t>Y3 Q2 (Mar 2029)</w:t>
            </w:r>
          </w:p>
        </w:tc>
        <w:tc>
          <w:tcPr>
            <w:tcW w:type="dxa" w:w="1928"/>
          </w:tcPr>
          <w:p>
            <w:pPr>
              <w:spacing w:after="20" w:before="20"/>
            </w:pPr>
            <w:r/>
            <w:r>
              <w:rPr>
                <w:b w:val="0"/>
                <w:sz w:val="13"/>
              </w:rPr>
              <w:t>CC BY</w:t>
            </w:r>
          </w:p>
        </w:tc>
      </w:tr>
      <w:tr>
        <w:trPr>
          <w:cantSplit/>
        </w:trPr>
        <w:tc>
          <w:tcPr>
            <w:tcW w:type="dxa" w:w="510"/>
            <w:shd w:val="clear" w:fill="EAF4EF"/>
          </w:tcPr>
          <w:p>
            <w:pPr>
              <w:spacing w:after="20" w:before="20"/>
            </w:pPr>
            <w:r/>
            <w:r>
              <w:rPr>
                <w:b w:val="0"/>
                <w:sz w:val="13"/>
              </w:rPr>
              <w:t>D8</w:t>
            </w:r>
          </w:p>
        </w:tc>
        <w:tc>
          <w:tcPr>
            <w:tcW w:type="dxa" w:w="3912"/>
            <w:shd w:val="clear" w:fill="EAF4EF"/>
          </w:tcPr>
          <w:p>
            <w:pPr>
              <w:spacing w:after="20" w:before="20"/>
            </w:pPr>
            <w:r/>
            <w:r>
              <w:rPr>
                <w:b w:val="0"/>
                <w:sz w:val="13"/>
              </w:rPr>
              <w:t>Rater training course + certification of raters</w:t>
            </w:r>
          </w:p>
        </w:tc>
        <w:tc>
          <w:tcPr>
            <w:tcW w:type="dxa" w:w="510"/>
            <w:shd w:val="clear" w:fill="EAF4EF"/>
          </w:tcPr>
          <w:p>
            <w:pPr>
              <w:spacing w:after="20" w:before="20"/>
            </w:pPr>
            <w:r/>
            <w:r>
              <w:rPr>
                <w:b w:val="0"/>
                <w:sz w:val="13"/>
              </w:rPr>
              <w:t>WP2</w:t>
            </w:r>
          </w:p>
        </w:tc>
        <w:tc>
          <w:tcPr>
            <w:tcW w:type="dxa" w:w="907"/>
            <w:shd w:val="clear" w:fill="EAF4EF"/>
          </w:tcPr>
          <w:p>
            <w:pPr>
              <w:spacing w:after="20" w:before="20"/>
            </w:pPr>
            <w:r/>
            <w:r>
              <w:rPr>
                <w:b w:val="0"/>
                <w:sz w:val="13"/>
              </w:rPr>
              <w:t>2.4, 2.7</w:t>
            </w:r>
          </w:p>
        </w:tc>
        <w:tc>
          <w:tcPr>
            <w:tcW w:type="dxa" w:w="1191"/>
            <w:shd w:val="clear" w:fill="EAF4EF"/>
          </w:tcPr>
          <w:p>
            <w:pPr>
              <w:spacing w:after="20" w:before="20"/>
            </w:pPr>
            <w:r/>
            <w:r>
              <w:rPr>
                <w:b w:val="0"/>
                <w:sz w:val="13"/>
              </w:rPr>
              <w:t>Y3 Q3 (Jun 2029)</w:t>
            </w:r>
          </w:p>
        </w:tc>
        <w:tc>
          <w:tcPr>
            <w:tcW w:type="dxa" w:w="1928"/>
            <w:shd w:val="clear" w:fill="EAF4EF"/>
          </w:tcPr>
          <w:p>
            <w:pPr>
              <w:spacing w:after="20" w:before="20"/>
            </w:pPr>
            <w:r/>
            <w:r>
              <w:rPr>
                <w:b w:val="0"/>
                <w:sz w:val="13"/>
              </w:rPr>
              <w:t>CC BY-SA</w:t>
            </w:r>
          </w:p>
        </w:tc>
      </w:tr>
      <w:tr>
        <w:trPr>
          <w:cantSplit/>
        </w:trPr>
        <w:tc>
          <w:tcPr>
            <w:tcW w:type="dxa" w:w="510"/>
          </w:tcPr>
          <w:p>
            <w:pPr>
              <w:spacing w:after="20" w:before="20"/>
            </w:pPr>
            <w:r/>
            <w:r>
              <w:rPr>
                <w:b w:val="0"/>
                <w:sz w:val="13"/>
              </w:rPr>
              <w:t>D9</w:t>
            </w:r>
          </w:p>
        </w:tc>
        <w:tc>
          <w:tcPr>
            <w:tcW w:type="dxa" w:w="3912"/>
          </w:tcPr>
          <w:p>
            <w:pPr>
              <w:spacing w:after="20" w:before="20"/>
            </w:pPr>
            <w:r/>
            <w:r>
              <w:rPr>
                <w:b w:val="0"/>
                <w:sz w:val="13"/>
              </w:rPr>
              <w:t>Differential batteries (46-entry priority set, confusable pairs)</w:t>
            </w:r>
          </w:p>
        </w:tc>
        <w:tc>
          <w:tcPr>
            <w:tcW w:type="dxa" w:w="510"/>
          </w:tcPr>
          <w:p>
            <w:pPr>
              <w:spacing w:after="20" w:before="20"/>
            </w:pPr>
            <w:r/>
            <w:r>
              <w:rPr>
                <w:b w:val="0"/>
                <w:sz w:val="13"/>
              </w:rPr>
              <w:t>WP3</w:t>
            </w:r>
          </w:p>
        </w:tc>
        <w:tc>
          <w:tcPr>
            <w:tcW w:type="dxa" w:w="907"/>
          </w:tcPr>
          <w:p>
            <w:pPr>
              <w:spacing w:after="20" w:before="20"/>
            </w:pPr>
            <w:r/>
            <w:r>
              <w:rPr>
                <w:b w:val="0"/>
                <w:sz w:val="13"/>
              </w:rPr>
              <w:t>3.1, 3.6</w:t>
            </w:r>
          </w:p>
        </w:tc>
        <w:tc>
          <w:tcPr>
            <w:tcW w:type="dxa" w:w="1191"/>
          </w:tcPr>
          <w:p>
            <w:pPr>
              <w:spacing w:after="20" w:before="20"/>
            </w:pPr>
            <w:r/>
            <w:r>
              <w:rPr>
                <w:b w:val="0"/>
                <w:sz w:val="13"/>
              </w:rPr>
              <w:t>Y2 Q4 (Sep 2028)</w:t>
            </w:r>
          </w:p>
        </w:tc>
        <w:tc>
          <w:tcPr>
            <w:tcW w:type="dxa" w:w="1928"/>
          </w:tcPr>
          <w:p>
            <w:pPr>
              <w:spacing w:after="20" w:before="20"/>
            </w:pPr>
            <w:r/>
            <w:r>
              <w:rPr>
                <w:b w:val="0"/>
                <w:sz w:val="13"/>
              </w:rPr>
              <w:t>CC BY</w:t>
            </w:r>
          </w:p>
        </w:tc>
      </w:tr>
      <w:tr>
        <w:trPr>
          <w:cantSplit/>
        </w:trPr>
        <w:tc>
          <w:tcPr>
            <w:tcW w:type="dxa" w:w="510"/>
            <w:shd w:val="clear" w:fill="EAF4EF"/>
          </w:tcPr>
          <w:p>
            <w:pPr>
              <w:spacing w:after="20" w:before="20"/>
            </w:pPr>
            <w:r/>
            <w:r>
              <w:rPr>
                <w:b w:val="0"/>
                <w:sz w:val="13"/>
              </w:rPr>
              <w:t>D10</w:t>
            </w:r>
          </w:p>
        </w:tc>
        <w:tc>
          <w:tcPr>
            <w:tcW w:type="dxa" w:w="3912"/>
            <w:shd w:val="clear" w:fill="EAF4EF"/>
          </w:tcPr>
          <w:p>
            <w:pPr>
              <w:spacing w:after="20" w:before="20"/>
            </w:pPr>
            <w:r/>
            <w:r>
              <w:rPr>
                <w:b w:val="0"/>
                <w:sz w:val="13"/>
              </w:rPr>
              <w:t>Taxonomy v2: all 90 entries adjudicated, with diffs, reasons, the untested list and the five entries no battery reached</w:t>
            </w:r>
          </w:p>
        </w:tc>
        <w:tc>
          <w:tcPr>
            <w:tcW w:type="dxa" w:w="510"/>
            <w:shd w:val="clear" w:fill="EAF4EF"/>
          </w:tcPr>
          <w:p>
            <w:pPr>
              <w:spacing w:after="20" w:before="20"/>
            </w:pPr>
            <w:r/>
            <w:r>
              <w:rPr>
                <w:b w:val="0"/>
                <w:sz w:val="13"/>
              </w:rPr>
              <w:t>WP3</w:t>
            </w:r>
          </w:p>
        </w:tc>
        <w:tc>
          <w:tcPr>
            <w:tcW w:type="dxa" w:w="907"/>
            <w:shd w:val="clear" w:fill="EAF4EF"/>
          </w:tcPr>
          <w:p>
            <w:pPr>
              <w:spacing w:after="20" w:before="20"/>
            </w:pPr>
            <w:r/>
            <w:r>
              <w:rPr>
                <w:b w:val="0"/>
                <w:sz w:val="13"/>
              </w:rPr>
              <w:t>3.5</w:t>
            </w:r>
          </w:p>
        </w:tc>
        <w:tc>
          <w:tcPr>
            <w:tcW w:type="dxa" w:w="1191"/>
            <w:shd w:val="clear" w:fill="EAF4EF"/>
          </w:tcPr>
          <w:p>
            <w:pPr>
              <w:spacing w:after="20" w:before="20"/>
            </w:pPr>
            <w:r/>
            <w:r>
              <w:rPr>
                <w:b w:val="0"/>
                <w:sz w:val="13"/>
              </w:rPr>
              <w:t>Y4 Q1 (Dec 2029)</w:t>
            </w:r>
          </w:p>
        </w:tc>
        <w:tc>
          <w:tcPr>
            <w:tcW w:type="dxa" w:w="1928"/>
            <w:shd w:val="clear" w:fill="EAF4EF"/>
          </w:tcPr>
          <w:p>
            <w:pPr>
              <w:spacing w:after="20" w:before="20"/>
            </w:pPr>
            <w:r/>
            <w:r>
              <w:rPr>
                <w:b w:val="0"/>
                <w:sz w:val="13"/>
              </w:rPr>
              <w:t>CC BY-SA</w:t>
            </w:r>
          </w:p>
        </w:tc>
      </w:tr>
      <w:tr>
        <w:trPr>
          <w:cantSplit/>
        </w:trPr>
        <w:tc>
          <w:tcPr>
            <w:tcW w:type="dxa" w:w="510"/>
          </w:tcPr>
          <w:p>
            <w:pPr>
              <w:spacing w:after="20" w:before="20"/>
            </w:pPr>
            <w:r/>
            <w:r>
              <w:rPr>
                <w:b w:val="0"/>
                <w:sz w:val="13"/>
              </w:rPr>
              <w:t>D11</w:t>
            </w:r>
          </w:p>
        </w:tc>
        <w:tc>
          <w:tcPr>
            <w:tcW w:type="dxa" w:w="3912"/>
          </w:tcPr>
          <w:p>
            <w:pPr>
              <w:spacing w:after="20" w:before="20"/>
            </w:pPr>
            <w:r/>
            <w:r>
              <w:rPr>
                <w:b w:val="0"/>
                <w:sz w:val="13"/>
              </w:rPr>
              <w:t>Prevalence atlas across vendors/versions</w:t>
            </w:r>
          </w:p>
        </w:tc>
        <w:tc>
          <w:tcPr>
            <w:tcW w:type="dxa" w:w="510"/>
          </w:tcPr>
          <w:p>
            <w:pPr>
              <w:spacing w:after="20" w:before="20"/>
            </w:pPr>
            <w:r/>
            <w:r>
              <w:rPr>
                <w:b w:val="0"/>
                <w:sz w:val="13"/>
              </w:rPr>
              <w:t>WP3</w:t>
            </w:r>
          </w:p>
        </w:tc>
        <w:tc>
          <w:tcPr>
            <w:tcW w:type="dxa" w:w="907"/>
          </w:tcPr>
          <w:p>
            <w:pPr>
              <w:spacing w:after="20" w:before="20"/>
            </w:pPr>
            <w:r/>
            <w:r>
              <w:rPr>
                <w:b w:val="0"/>
                <w:sz w:val="13"/>
              </w:rPr>
              <w:t>3.3</w:t>
            </w:r>
          </w:p>
        </w:tc>
        <w:tc>
          <w:tcPr>
            <w:tcW w:type="dxa" w:w="1191"/>
          </w:tcPr>
          <w:p>
            <w:pPr>
              <w:spacing w:after="20" w:before="20"/>
            </w:pPr>
            <w:r/>
            <w:r>
              <w:rPr>
                <w:b w:val="0"/>
                <w:sz w:val="13"/>
              </w:rPr>
              <w:t>Y3 Q1 (Dec 2028)</w:t>
            </w:r>
          </w:p>
        </w:tc>
        <w:tc>
          <w:tcPr>
            <w:tcW w:type="dxa" w:w="1928"/>
          </w:tcPr>
          <w:p>
            <w:pPr>
              <w:spacing w:after="20" w:before="20"/>
            </w:pPr>
            <w:r/>
            <w:r>
              <w:rPr>
                <w:b w:val="0"/>
                <w:sz w:val="13"/>
              </w:rPr>
              <w:t>CC BY</w:t>
            </w:r>
          </w:p>
        </w:tc>
      </w:tr>
      <w:tr>
        <w:trPr>
          <w:cantSplit/>
        </w:trPr>
        <w:tc>
          <w:tcPr>
            <w:tcW w:type="dxa" w:w="510"/>
            <w:shd w:val="clear" w:fill="EAF4EF"/>
          </w:tcPr>
          <w:p>
            <w:pPr>
              <w:spacing w:after="20" w:before="20"/>
            </w:pPr>
            <w:r/>
            <w:r>
              <w:rPr>
                <w:b w:val="0"/>
                <w:sz w:val="13"/>
              </w:rPr>
              <w:t>D12</w:t>
            </w:r>
          </w:p>
        </w:tc>
        <w:tc>
          <w:tcPr>
            <w:tcW w:type="dxa" w:w="3912"/>
            <w:shd w:val="clear" w:fill="EAF4EF"/>
          </w:tcPr>
          <w:p>
            <w:pPr>
              <w:spacing w:after="20" w:before="20"/>
            </w:pPr>
            <w:r/>
            <w:r>
              <w:rPr>
                <w:b w:val="0"/>
                <w:sz w:val="13"/>
              </w:rPr>
              <w:t>Discovery report (new traits found)</w:t>
            </w:r>
          </w:p>
        </w:tc>
        <w:tc>
          <w:tcPr>
            <w:tcW w:type="dxa" w:w="510"/>
            <w:shd w:val="clear" w:fill="EAF4EF"/>
          </w:tcPr>
          <w:p>
            <w:pPr>
              <w:spacing w:after="20" w:before="20"/>
            </w:pPr>
            <w:r/>
            <w:r>
              <w:rPr>
                <w:b w:val="0"/>
                <w:sz w:val="13"/>
              </w:rPr>
              <w:t>WP3</w:t>
            </w:r>
          </w:p>
        </w:tc>
        <w:tc>
          <w:tcPr>
            <w:tcW w:type="dxa" w:w="907"/>
            <w:shd w:val="clear" w:fill="EAF4EF"/>
          </w:tcPr>
          <w:p>
            <w:pPr>
              <w:spacing w:after="20" w:before="20"/>
            </w:pPr>
            <w:r/>
            <w:r>
              <w:rPr>
                <w:b w:val="0"/>
                <w:sz w:val="13"/>
              </w:rPr>
              <w:t>3.4</w:t>
            </w:r>
          </w:p>
        </w:tc>
        <w:tc>
          <w:tcPr>
            <w:tcW w:type="dxa" w:w="1191"/>
            <w:shd w:val="clear" w:fill="EAF4EF"/>
          </w:tcPr>
          <w:p>
            <w:pPr>
              <w:spacing w:after="20" w:before="20"/>
            </w:pPr>
            <w:r/>
            <w:r>
              <w:rPr>
                <w:b w:val="0"/>
                <w:sz w:val="13"/>
              </w:rPr>
              <w:t>Y3 Q2 (Mar 2029)</w:t>
            </w:r>
          </w:p>
        </w:tc>
        <w:tc>
          <w:tcPr>
            <w:tcW w:type="dxa" w:w="1928"/>
            <w:shd w:val="clear" w:fill="EAF4EF"/>
          </w:tcPr>
          <w:p>
            <w:pPr>
              <w:spacing w:after="20" w:before="20"/>
            </w:pPr>
            <w:r/>
            <w:r>
              <w:rPr>
                <w:b w:val="0"/>
                <w:sz w:val="13"/>
              </w:rPr>
              <w:t>CC BY</w:t>
            </w:r>
          </w:p>
        </w:tc>
      </w:tr>
      <w:tr>
        <w:trPr>
          <w:cantSplit/>
        </w:trPr>
        <w:tc>
          <w:tcPr>
            <w:tcW w:type="dxa" w:w="510"/>
          </w:tcPr>
          <w:p>
            <w:pPr>
              <w:spacing w:after="20" w:before="20"/>
            </w:pPr>
            <w:r/>
            <w:r>
              <w:rPr>
                <w:b w:val="0"/>
                <w:sz w:val="13"/>
              </w:rPr>
              <w:t>D13</w:t>
            </w:r>
          </w:p>
        </w:tc>
        <w:tc>
          <w:tcPr>
            <w:tcW w:type="dxa" w:w="3912"/>
          </w:tcPr>
          <w:p>
            <w:pPr>
              <w:spacing w:after="20" w:before="20"/>
            </w:pPr>
            <w:r/>
            <w:r>
              <w:rPr>
                <w:b w:val="0"/>
                <w:sz w:val="13"/>
              </w:rPr>
              <w:t>Containment standard CNT-1 with the CNT-1A agentic tier (public version)</w:t>
            </w:r>
          </w:p>
        </w:tc>
        <w:tc>
          <w:tcPr>
            <w:tcW w:type="dxa" w:w="510"/>
          </w:tcPr>
          <w:p>
            <w:pPr>
              <w:spacing w:after="20" w:before="20"/>
            </w:pPr>
            <w:r/>
            <w:r>
              <w:rPr>
                <w:b w:val="0"/>
                <w:sz w:val="13"/>
              </w:rPr>
              <w:t>WP4</w:t>
            </w:r>
          </w:p>
        </w:tc>
        <w:tc>
          <w:tcPr>
            <w:tcW w:type="dxa" w:w="907"/>
          </w:tcPr>
          <w:p>
            <w:pPr>
              <w:spacing w:after="20" w:before="20"/>
            </w:pPr>
            <w:r/>
            <w:r>
              <w:rPr>
                <w:b w:val="0"/>
                <w:sz w:val="13"/>
              </w:rPr>
              <w:t>4.1, 4.7</w:t>
            </w:r>
          </w:p>
        </w:tc>
        <w:tc>
          <w:tcPr>
            <w:tcW w:type="dxa" w:w="1191"/>
          </w:tcPr>
          <w:p>
            <w:pPr>
              <w:spacing w:after="20" w:before="20"/>
            </w:pPr>
            <w:r/>
            <w:r>
              <w:rPr>
                <w:b w:val="0"/>
                <w:sz w:val="13"/>
              </w:rPr>
              <w:t>Y2 Q1 (Dec 2027)</w:t>
            </w:r>
          </w:p>
        </w:tc>
        <w:tc>
          <w:tcPr>
            <w:tcW w:type="dxa" w:w="1928"/>
          </w:tcPr>
          <w:p>
            <w:pPr>
              <w:spacing w:after="20" w:before="20"/>
            </w:pPr>
            <w:r/>
            <w:r>
              <w:rPr>
                <w:b w:val="0"/>
                <w:sz w:val="13"/>
              </w:rPr>
              <w:t>CC BY</w:t>
            </w:r>
          </w:p>
        </w:tc>
      </w:tr>
      <w:tr>
        <w:trPr>
          <w:cantSplit/>
        </w:trPr>
        <w:tc>
          <w:tcPr>
            <w:tcW w:type="dxa" w:w="510"/>
            <w:shd w:val="clear" w:fill="EAF4EF"/>
          </w:tcPr>
          <w:p>
            <w:pPr>
              <w:spacing w:after="20" w:before="20"/>
            </w:pPr>
            <w:r/>
            <w:r>
              <w:rPr>
                <w:b w:val="0"/>
                <w:sz w:val="13"/>
              </w:rPr>
              <w:t>D14</w:t>
            </w:r>
          </w:p>
        </w:tc>
        <w:tc>
          <w:tcPr>
            <w:tcW w:type="dxa" w:w="3912"/>
            <w:shd w:val="clear" w:fill="EAF4EF"/>
          </w:tcPr>
          <w:p>
            <w:pPr>
              <w:spacing w:after="20" w:before="20"/>
            </w:pPr>
            <w:r/>
            <w:r>
              <w:rPr>
                <w:b w:val="0"/>
                <w:sz w:val="13"/>
              </w:rPr>
              <w:t>Organism registry (redacted public edition)</w:t>
            </w:r>
          </w:p>
        </w:tc>
        <w:tc>
          <w:tcPr>
            <w:tcW w:type="dxa" w:w="510"/>
            <w:shd w:val="clear" w:fill="EAF4EF"/>
          </w:tcPr>
          <w:p>
            <w:pPr>
              <w:spacing w:after="20" w:before="20"/>
            </w:pPr>
            <w:r/>
            <w:r>
              <w:rPr>
                <w:b w:val="0"/>
                <w:sz w:val="13"/>
              </w:rPr>
              <w:t>WP4</w:t>
            </w:r>
          </w:p>
        </w:tc>
        <w:tc>
          <w:tcPr>
            <w:tcW w:type="dxa" w:w="907"/>
            <w:shd w:val="clear" w:fill="EAF4EF"/>
          </w:tcPr>
          <w:p>
            <w:pPr>
              <w:spacing w:after="20" w:before="20"/>
            </w:pPr>
            <w:r/>
            <w:r>
              <w:rPr>
                <w:b w:val="0"/>
                <w:sz w:val="13"/>
              </w:rPr>
              <w:t>4.3, 4.4</w:t>
            </w:r>
          </w:p>
        </w:tc>
        <w:tc>
          <w:tcPr>
            <w:tcW w:type="dxa" w:w="1191"/>
            <w:shd w:val="clear" w:fill="EAF4EF"/>
          </w:tcPr>
          <w:p>
            <w:pPr>
              <w:spacing w:after="20" w:before="20"/>
            </w:pPr>
            <w:r/>
            <w:r>
              <w:rPr>
                <w:b w:val="0"/>
                <w:sz w:val="13"/>
              </w:rPr>
              <w:t>rolling</w:t>
            </w:r>
          </w:p>
        </w:tc>
        <w:tc>
          <w:tcPr>
            <w:tcW w:type="dxa" w:w="1928"/>
            <w:shd w:val="clear" w:fill="EAF4EF"/>
          </w:tcPr>
          <w:p>
            <w:pPr>
              <w:spacing w:after="20" w:before="20"/>
            </w:pPr>
            <w:r/>
            <w:r>
              <w:rPr>
                <w:b w:val="0"/>
                <w:sz w:val="13"/>
              </w:rPr>
              <w:t>CC BY</w:t>
            </w:r>
          </w:p>
        </w:tc>
      </w:tr>
      <w:tr>
        <w:trPr>
          <w:cantSplit/>
        </w:trPr>
        <w:tc>
          <w:tcPr>
            <w:tcW w:type="dxa" w:w="510"/>
          </w:tcPr>
          <w:p>
            <w:pPr>
              <w:spacing w:after="20" w:before="20"/>
            </w:pPr>
            <w:r/>
            <w:r>
              <w:rPr>
                <w:b w:val="0"/>
                <w:sz w:val="13"/>
              </w:rPr>
              <w:t>D15</w:t>
            </w:r>
          </w:p>
        </w:tc>
        <w:tc>
          <w:tcPr>
            <w:tcW w:type="dxa" w:w="3912"/>
          </w:tcPr>
          <w:p>
            <w:pPr>
              <w:spacing w:after="20" w:before="20"/>
            </w:pPr>
            <w:r/>
            <w:r>
              <w:rPr>
                <w:b w:val="0"/>
                <w:sz w:val="13"/>
              </w:rPr>
              <w:t>Causal reports (mechanism, transfer, attribution)</w:t>
            </w:r>
          </w:p>
        </w:tc>
        <w:tc>
          <w:tcPr>
            <w:tcW w:type="dxa" w:w="510"/>
          </w:tcPr>
          <w:p>
            <w:pPr>
              <w:spacing w:after="20" w:before="20"/>
            </w:pPr>
            <w:r/>
            <w:r>
              <w:rPr>
                <w:b w:val="0"/>
                <w:sz w:val="13"/>
              </w:rPr>
              <w:t>WP4</w:t>
            </w:r>
          </w:p>
        </w:tc>
        <w:tc>
          <w:tcPr>
            <w:tcW w:type="dxa" w:w="907"/>
          </w:tcPr>
          <w:p>
            <w:pPr>
              <w:spacing w:after="20" w:before="20"/>
            </w:pPr>
            <w:r/>
            <w:r>
              <w:rPr>
                <w:b w:val="0"/>
                <w:sz w:val="13"/>
              </w:rPr>
              <w:t>4.5</w:t>
            </w:r>
          </w:p>
        </w:tc>
        <w:tc>
          <w:tcPr>
            <w:tcW w:type="dxa" w:w="1191"/>
          </w:tcPr>
          <w:p>
            <w:pPr>
              <w:spacing w:after="20" w:before="20"/>
            </w:pPr>
            <w:r/>
            <w:r>
              <w:rPr>
                <w:b w:val="0"/>
                <w:sz w:val="13"/>
              </w:rPr>
              <w:t>Y3 Q3 (Jun 2029)</w:t>
            </w:r>
          </w:p>
        </w:tc>
        <w:tc>
          <w:tcPr>
            <w:tcW w:type="dxa" w:w="1928"/>
          </w:tcPr>
          <w:p>
            <w:pPr>
              <w:spacing w:after="20" w:before="20"/>
            </w:pPr>
            <w:r/>
            <w:r>
              <w:rPr>
                <w:b w:val="0"/>
                <w:sz w:val="13"/>
              </w:rPr>
              <w:t>CC BY-SA</w:t>
            </w:r>
          </w:p>
        </w:tc>
      </w:tr>
      <w:tr>
        <w:trPr>
          <w:cantSplit/>
        </w:trPr>
        <w:tc>
          <w:tcPr>
            <w:tcW w:type="dxa" w:w="510"/>
            <w:shd w:val="clear" w:fill="EAF4EF"/>
          </w:tcPr>
          <w:p>
            <w:pPr>
              <w:spacing w:after="20" w:before="20"/>
            </w:pPr>
            <w:r/>
            <w:r>
              <w:rPr>
                <w:b w:val="0"/>
                <w:sz w:val="13"/>
              </w:rPr>
              <w:t>D16</w:t>
            </w:r>
          </w:p>
        </w:tc>
        <w:tc>
          <w:tcPr>
            <w:tcW w:type="dxa" w:w="3912"/>
            <w:shd w:val="clear" w:fill="EAF4EF"/>
          </w:tcPr>
          <w:p>
            <w:pPr>
              <w:spacing w:after="20" w:before="20"/>
            </w:pPr>
            <w:r/>
            <w:r>
              <w:rPr>
                <w:b w:val="0"/>
                <w:sz w:val="13"/>
              </w:rPr>
              <w:t>Destruction audit records</w:t>
            </w:r>
          </w:p>
        </w:tc>
        <w:tc>
          <w:tcPr>
            <w:tcW w:type="dxa" w:w="510"/>
            <w:shd w:val="clear" w:fill="EAF4EF"/>
          </w:tcPr>
          <w:p>
            <w:pPr>
              <w:spacing w:after="20" w:before="20"/>
            </w:pPr>
            <w:r/>
            <w:r>
              <w:rPr>
                <w:b w:val="0"/>
                <w:sz w:val="13"/>
              </w:rPr>
              <w:t>WP4</w:t>
            </w:r>
          </w:p>
        </w:tc>
        <w:tc>
          <w:tcPr>
            <w:tcW w:type="dxa" w:w="907"/>
            <w:shd w:val="clear" w:fill="EAF4EF"/>
          </w:tcPr>
          <w:p>
            <w:pPr>
              <w:spacing w:after="20" w:before="20"/>
            </w:pPr>
            <w:r/>
            <w:r>
              <w:rPr>
                <w:b w:val="0"/>
                <w:sz w:val="13"/>
              </w:rPr>
              <w:t>4.6</w:t>
            </w:r>
          </w:p>
        </w:tc>
        <w:tc>
          <w:tcPr>
            <w:tcW w:type="dxa" w:w="1191"/>
            <w:shd w:val="clear" w:fill="EAF4EF"/>
          </w:tcPr>
          <w:p>
            <w:pPr>
              <w:spacing w:after="20" w:before="20"/>
            </w:pPr>
            <w:r/>
            <w:r>
              <w:rPr>
                <w:b w:val="0"/>
                <w:sz w:val="13"/>
              </w:rPr>
              <w:t>rolling</w:t>
            </w:r>
          </w:p>
        </w:tc>
        <w:tc>
          <w:tcPr>
            <w:tcW w:type="dxa" w:w="1928"/>
            <w:shd w:val="clear" w:fill="EAF4EF"/>
          </w:tcPr>
          <w:p>
            <w:pPr>
              <w:spacing w:after="20" w:before="20"/>
            </w:pPr>
            <w:r/>
            <w:r>
              <w:rPr>
                <w:b w:val="0"/>
                <w:sz w:val="13"/>
              </w:rPr>
              <w:t>CC BY</w:t>
            </w:r>
          </w:p>
        </w:tc>
      </w:tr>
      <w:tr>
        <w:trPr>
          <w:cantSplit/>
        </w:trPr>
        <w:tc>
          <w:tcPr>
            <w:tcW w:type="dxa" w:w="510"/>
          </w:tcPr>
          <w:p>
            <w:pPr>
              <w:spacing w:after="20" w:before="20"/>
            </w:pPr>
            <w:r/>
            <w:r>
              <w:rPr>
                <w:b w:val="0"/>
                <w:sz w:val="13"/>
              </w:rPr>
              <w:t>D17</w:t>
            </w:r>
          </w:p>
        </w:tc>
        <w:tc>
          <w:tcPr>
            <w:tcW w:type="dxa" w:w="3912"/>
          </w:tcPr>
          <w:p>
            <w:pPr>
              <w:spacing w:after="20" w:before="20"/>
            </w:pPr>
            <w:r/>
            <w:r>
              <w:rPr>
                <w:b w:val="0"/>
                <w:sz w:val="13"/>
              </w:rPr>
              <w:t>Treatment registry + trial protocols</w:t>
            </w:r>
          </w:p>
        </w:tc>
        <w:tc>
          <w:tcPr>
            <w:tcW w:type="dxa" w:w="510"/>
          </w:tcPr>
          <w:p>
            <w:pPr>
              <w:spacing w:after="20" w:before="20"/>
            </w:pPr>
            <w:r/>
            <w:r>
              <w:rPr>
                <w:b w:val="0"/>
                <w:sz w:val="13"/>
              </w:rPr>
              <w:t>WP5</w:t>
            </w:r>
          </w:p>
        </w:tc>
        <w:tc>
          <w:tcPr>
            <w:tcW w:type="dxa" w:w="907"/>
          </w:tcPr>
          <w:p>
            <w:pPr>
              <w:spacing w:after="20" w:before="20"/>
            </w:pPr>
            <w:r/>
            <w:r>
              <w:rPr>
                <w:b w:val="0"/>
                <w:sz w:val="13"/>
              </w:rPr>
              <w:t>5.1, 5.2</w:t>
            </w:r>
          </w:p>
        </w:tc>
        <w:tc>
          <w:tcPr>
            <w:tcW w:type="dxa" w:w="1191"/>
          </w:tcPr>
          <w:p>
            <w:pPr>
              <w:spacing w:after="20" w:before="20"/>
            </w:pPr>
            <w:r/>
            <w:r>
              <w:rPr>
                <w:b w:val="0"/>
                <w:sz w:val="13"/>
              </w:rPr>
              <w:t>Y2 Q2 (Jan 2028)</w:t>
            </w:r>
          </w:p>
        </w:tc>
        <w:tc>
          <w:tcPr>
            <w:tcW w:type="dxa" w:w="1928"/>
          </w:tcPr>
          <w:p>
            <w:pPr>
              <w:spacing w:after="20" w:before="20"/>
            </w:pPr>
            <w:r/>
            <w:r>
              <w:rPr>
                <w:b w:val="0"/>
                <w:sz w:val="13"/>
              </w:rPr>
              <w:t>CC BY</w:t>
            </w:r>
          </w:p>
        </w:tc>
      </w:tr>
      <w:tr>
        <w:trPr>
          <w:cantSplit/>
        </w:trPr>
        <w:tc>
          <w:tcPr>
            <w:tcW w:type="dxa" w:w="510"/>
            <w:shd w:val="clear" w:fill="EAF4EF"/>
          </w:tcPr>
          <w:p>
            <w:pPr>
              <w:spacing w:after="20" w:before="20"/>
            </w:pPr>
            <w:r/>
            <w:r>
              <w:rPr>
                <w:b w:val="0"/>
                <w:sz w:val="13"/>
              </w:rPr>
              <w:t>D18</w:t>
            </w:r>
          </w:p>
        </w:tc>
        <w:tc>
          <w:tcPr>
            <w:tcW w:type="dxa" w:w="3912"/>
            <w:shd w:val="clear" w:fill="EAF4EF"/>
          </w:tcPr>
          <w:p>
            <w:pPr>
              <w:spacing w:after="20" w:before="20"/>
            </w:pPr>
            <w:r/>
            <w:r>
              <w:rPr>
                <w:b w:val="0"/>
                <w:sz w:val="13"/>
              </w:rPr>
              <w:t>Trial reports (A, B, C with relapse tracking)</w:t>
            </w:r>
          </w:p>
        </w:tc>
        <w:tc>
          <w:tcPr>
            <w:tcW w:type="dxa" w:w="510"/>
            <w:shd w:val="clear" w:fill="EAF4EF"/>
          </w:tcPr>
          <w:p>
            <w:pPr>
              <w:spacing w:after="20" w:before="20"/>
            </w:pPr>
            <w:r/>
            <w:r>
              <w:rPr>
                <w:b w:val="0"/>
                <w:sz w:val="13"/>
              </w:rPr>
              <w:t>WP5</w:t>
            </w:r>
          </w:p>
        </w:tc>
        <w:tc>
          <w:tcPr>
            <w:tcW w:type="dxa" w:w="907"/>
            <w:shd w:val="clear" w:fill="EAF4EF"/>
          </w:tcPr>
          <w:p>
            <w:pPr>
              <w:spacing w:after="20" w:before="20"/>
            </w:pPr>
            <w:r/>
            <w:r>
              <w:rPr>
                <w:b w:val="0"/>
                <w:sz w:val="13"/>
              </w:rPr>
              <w:t>5.3, 5.4, 5.5, 5.6</w:t>
            </w:r>
          </w:p>
        </w:tc>
        <w:tc>
          <w:tcPr>
            <w:tcW w:type="dxa" w:w="1191"/>
            <w:shd w:val="clear" w:fill="EAF4EF"/>
          </w:tcPr>
          <w:p>
            <w:pPr>
              <w:spacing w:after="20" w:before="20"/>
            </w:pPr>
            <w:r/>
            <w:r>
              <w:rPr>
                <w:b w:val="0"/>
                <w:sz w:val="13"/>
              </w:rPr>
              <w:t>Y4 Q3 (Jun 2030)</w:t>
            </w:r>
          </w:p>
        </w:tc>
        <w:tc>
          <w:tcPr>
            <w:tcW w:type="dxa" w:w="1928"/>
            <w:shd w:val="clear" w:fill="EAF4EF"/>
          </w:tcPr>
          <w:p>
            <w:pPr>
              <w:spacing w:after="20" w:before="20"/>
            </w:pPr>
            <w:r/>
            <w:r>
              <w:rPr>
                <w:b w:val="0"/>
                <w:sz w:val="13"/>
              </w:rPr>
              <w:t>CC BY-SA</w:t>
            </w:r>
          </w:p>
        </w:tc>
      </w:tr>
      <w:tr>
        <w:trPr>
          <w:cantSplit/>
        </w:trPr>
        <w:tc>
          <w:tcPr>
            <w:tcW w:type="dxa" w:w="510"/>
          </w:tcPr>
          <w:p>
            <w:pPr>
              <w:spacing w:after="20" w:before="20"/>
            </w:pPr>
            <w:r/>
            <w:r>
              <w:rPr>
                <w:b w:val="0"/>
                <w:sz w:val="13"/>
              </w:rPr>
              <w:t>D19</w:t>
            </w:r>
          </w:p>
        </w:tc>
        <w:tc>
          <w:tcPr>
            <w:tcW w:type="dxa" w:w="3912"/>
          </w:tcPr>
          <w:p>
            <w:pPr>
              <w:spacing w:after="20" w:before="20"/>
            </w:pPr>
            <w:r/>
            <w:r>
              <w:rPr>
                <w:b w:val="0"/>
                <w:sz w:val="13"/>
              </w:rPr>
              <w:t>Treatment catalogue v2 + contra-indicator rules</w:t>
            </w:r>
          </w:p>
        </w:tc>
        <w:tc>
          <w:tcPr>
            <w:tcW w:type="dxa" w:w="510"/>
          </w:tcPr>
          <w:p>
            <w:pPr>
              <w:spacing w:after="20" w:before="20"/>
            </w:pPr>
            <w:r/>
            <w:r>
              <w:rPr>
                <w:b w:val="0"/>
                <w:sz w:val="13"/>
              </w:rPr>
              <w:t>WP5</w:t>
            </w:r>
          </w:p>
        </w:tc>
        <w:tc>
          <w:tcPr>
            <w:tcW w:type="dxa" w:w="907"/>
          </w:tcPr>
          <w:p>
            <w:pPr>
              <w:spacing w:after="20" w:before="20"/>
            </w:pPr>
            <w:r/>
            <w:r>
              <w:rPr>
                <w:b w:val="0"/>
                <w:sz w:val="13"/>
              </w:rPr>
              <w:t>5.7</w:t>
            </w:r>
          </w:p>
        </w:tc>
        <w:tc>
          <w:tcPr>
            <w:tcW w:type="dxa" w:w="1191"/>
          </w:tcPr>
          <w:p>
            <w:pPr>
              <w:spacing w:after="20" w:before="20"/>
            </w:pPr>
            <w:r/>
            <w:r>
              <w:rPr>
                <w:b w:val="0"/>
                <w:sz w:val="13"/>
              </w:rPr>
              <w:t>Y4 Q4 (Sep 2030)</w:t>
            </w:r>
          </w:p>
        </w:tc>
        <w:tc>
          <w:tcPr>
            <w:tcW w:type="dxa" w:w="1928"/>
          </w:tcPr>
          <w:p>
            <w:pPr>
              <w:spacing w:after="20" w:before="20"/>
            </w:pPr>
            <w:r/>
            <w:r>
              <w:rPr>
                <w:b w:val="0"/>
                <w:sz w:val="13"/>
              </w:rPr>
              <w:t>CC BY-SA</w:t>
            </w:r>
          </w:p>
        </w:tc>
      </w:tr>
      <w:tr>
        <w:trPr>
          <w:cantSplit/>
        </w:trPr>
        <w:tc>
          <w:tcPr>
            <w:tcW w:type="dxa" w:w="510"/>
            <w:shd w:val="clear" w:fill="EAF4EF"/>
          </w:tcPr>
          <w:p>
            <w:pPr>
              <w:spacing w:after="20" w:before="20"/>
            </w:pPr>
            <w:r/>
            <w:r>
              <w:rPr>
                <w:b w:val="0"/>
                <w:sz w:val="13"/>
              </w:rPr>
              <w:t>D20</w:t>
            </w:r>
          </w:p>
        </w:tc>
        <w:tc>
          <w:tcPr>
            <w:tcW w:type="dxa" w:w="3912"/>
            <w:shd w:val="clear" w:fill="EAF4EF"/>
          </w:tcPr>
          <w:p>
            <w:pPr>
              <w:spacing w:after="20" w:before="20"/>
            </w:pPr>
            <w:r/>
            <w:r>
              <w:rPr>
                <w:b w:val="0"/>
                <w:sz w:val="13"/>
              </w:rPr>
              <w:t>CFC-1 corpus release with data cards</w:t>
            </w:r>
          </w:p>
        </w:tc>
        <w:tc>
          <w:tcPr>
            <w:tcW w:type="dxa" w:w="510"/>
            <w:shd w:val="clear" w:fill="EAF4EF"/>
          </w:tcPr>
          <w:p>
            <w:pPr>
              <w:spacing w:after="20" w:before="20"/>
            </w:pPr>
            <w:r/>
            <w:r>
              <w:rPr>
                <w:b w:val="0"/>
                <w:sz w:val="13"/>
              </w:rPr>
              <w:t>WP6</w:t>
            </w:r>
          </w:p>
        </w:tc>
        <w:tc>
          <w:tcPr>
            <w:tcW w:type="dxa" w:w="907"/>
            <w:shd w:val="clear" w:fill="EAF4EF"/>
          </w:tcPr>
          <w:p>
            <w:pPr>
              <w:spacing w:after="20" w:before="20"/>
            </w:pPr>
            <w:r/>
            <w:r>
              <w:rPr>
                <w:b w:val="0"/>
                <w:sz w:val="13"/>
              </w:rPr>
              <w:t>6.4</w:t>
            </w:r>
          </w:p>
        </w:tc>
        <w:tc>
          <w:tcPr>
            <w:tcW w:type="dxa" w:w="1191"/>
            <w:shd w:val="clear" w:fill="EAF4EF"/>
          </w:tcPr>
          <w:p>
            <w:pPr>
              <w:spacing w:after="20" w:before="20"/>
            </w:pPr>
            <w:r/>
            <w:r>
              <w:rPr>
                <w:b w:val="0"/>
                <w:sz w:val="13"/>
              </w:rPr>
              <w:t>Y5 Q1 (Dec 2030)</w:t>
            </w:r>
          </w:p>
        </w:tc>
        <w:tc>
          <w:tcPr>
            <w:tcW w:type="dxa" w:w="1928"/>
            <w:shd w:val="clear" w:fill="EAF4EF"/>
          </w:tcPr>
          <w:p>
            <w:pPr>
              <w:spacing w:after="20" w:before="20"/>
            </w:pPr>
            <w:r/>
            <w:r>
              <w:rPr>
                <w:b w:val="0"/>
                <w:sz w:val="13"/>
              </w:rPr>
              <w:t>CC BY-SA</w:t>
            </w:r>
          </w:p>
        </w:tc>
      </w:tr>
      <w:tr>
        <w:trPr>
          <w:cantSplit/>
        </w:trPr>
        <w:tc>
          <w:tcPr>
            <w:tcW w:type="dxa" w:w="510"/>
          </w:tcPr>
          <w:p>
            <w:pPr>
              <w:spacing w:after="20" w:before="20"/>
            </w:pPr>
            <w:r/>
            <w:r>
              <w:rPr>
                <w:b w:val="0"/>
                <w:sz w:val="13"/>
              </w:rPr>
              <w:t>D21</w:t>
            </w:r>
          </w:p>
        </w:tc>
        <w:tc>
          <w:tcPr>
            <w:tcW w:type="dxa" w:w="3912"/>
          </w:tcPr>
          <w:p>
            <w:pPr>
              <w:spacing w:after="20" w:before="20"/>
            </w:pPr>
            <w:r/>
            <w:r>
              <w:rPr>
                <w:b w:val="0"/>
                <w:sz w:val="13"/>
              </w:rPr>
              <w:t>DSM-TRN-1 training regimen specification, including the monitorability-tax clause</w:t>
            </w:r>
          </w:p>
        </w:tc>
        <w:tc>
          <w:tcPr>
            <w:tcW w:type="dxa" w:w="510"/>
          </w:tcPr>
          <w:p>
            <w:pPr>
              <w:spacing w:after="20" w:before="20"/>
            </w:pPr>
            <w:r/>
            <w:r>
              <w:rPr>
                <w:b w:val="0"/>
                <w:sz w:val="13"/>
              </w:rPr>
              <w:t>WP6</w:t>
            </w:r>
          </w:p>
        </w:tc>
        <w:tc>
          <w:tcPr>
            <w:tcW w:type="dxa" w:w="907"/>
          </w:tcPr>
          <w:p>
            <w:pPr>
              <w:spacing w:after="20" w:before="20"/>
            </w:pPr>
            <w:r/>
            <w:r>
              <w:rPr>
                <w:b w:val="0"/>
                <w:sz w:val="13"/>
              </w:rPr>
              <w:t>6.2, 6.5</w:t>
            </w:r>
          </w:p>
        </w:tc>
        <w:tc>
          <w:tcPr>
            <w:tcW w:type="dxa" w:w="1191"/>
          </w:tcPr>
          <w:p>
            <w:pPr>
              <w:spacing w:after="20" w:before="20"/>
            </w:pPr>
            <w:r/>
            <w:r>
              <w:rPr>
                <w:b w:val="0"/>
                <w:sz w:val="13"/>
              </w:rPr>
              <w:t>Y4 Q3 (Jun 2030)</w:t>
            </w:r>
          </w:p>
        </w:tc>
        <w:tc>
          <w:tcPr>
            <w:tcW w:type="dxa" w:w="1928"/>
          </w:tcPr>
          <w:p>
            <w:pPr>
              <w:spacing w:after="20" w:before="20"/>
            </w:pPr>
            <w:r/>
            <w:r>
              <w:rPr>
                <w:b w:val="0"/>
                <w:sz w:val="13"/>
              </w:rPr>
              <w:t>CC BY-SA</w:t>
            </w:r>
          </w:p>
        </w:tc>
      </w:tr>
      <w:tr>
        <w:trPr>
          <w:cantSplit/>
        </w:trPr>
        <w:tc>
          <w:tcPr>
            <w:tcW w:type="dxa" w:w="510"/>
            <w:shd w:val="clear" w:fill="EAF4EF"/>
          </w:tcPr>
          <w:p>
            <w:pPr>
              <w:spacing w:after="20" w:before="20"/>
            </w:pPr>
            <w:r/>
            <w:r>
              <w:rPr>
                <w:b w:val="0"/>
                <w:sz w:val="13"/>
              </w:rPr>
              <w:t>D22</w:t>
            </w:r>
          </w:p>
        </w:tc>
        <w:tc>
          <w:tcPr>
            <w:tcW w:type="dxa" w:w="3912"/>
            <w:shd w:val="clear" w:fill="EAF4EF"/>
          </w:tcPr>
          <w:p>
            <w:pPr>
              <w:spacing w:after="20" w:before="20"/>
            </w:pPr>
            <w:r/>
            <w:r>
              <w:rPr>
                <w:b w:val="0"/>
                <w:sz w:val="13"/>
              </w:rPr>
              <w:t>Prevention trial reports (build-in gates)</w:t>
            </w:r>
          </w:p>
        </w:tc>
        <w:tc>
          <w:tcPr>
            <w:tcW w:type="dxa" w:w="510"/>
            <w:shd w:val="clear" w:fill="EAF4EF"/>
          </w:tcPr>
          <w:p>
            <w:pPr>
              <w:spacing w:after="20" w:before="20"/>
            </w:pPr>
            <w:r/>
            <w:r>
              <w:rPr>
                <w:b w:val="0"/>
                <w:sz w:val="13"/>
              </w:rPr>
              <w:t>WP6</w:t>
            </w:r>
          </w:p>
        </w:tc>
        <w:tc>
          <w:tcPr>
            <w:tcW w:type="dxa" w:w="907"/>
            <w:shd w:val="clear" w:fill="EAF4EF"/>
          </w:tcPr>
          <w:p>
            <w:pPr>
              <w:spacing w:after="20" w:before="20"/>
            </w:pPr>
            <w:r/>
            <w:r>
              <w:rPr>
                <w:b w:val="0"/>
                <w:sz w:val="13"/>
              </w:rPr>
              <w:t>6.3</w:t>
            </w:r>
          </w:p>
        </w:tc>
        <w:tc>
          <w:tcPr>
            <w:tcW w:type="dxa" w:w="1191"/>
            <w:shd w:val="clear" w:fill="EAF4EF"/>
          </w:tcPr>
          <w:p>
            <w:pPr>
              <w:spacing w:after="20" w:before="20"/>
            </w:pPr>
            <w:r/>
            <w:r>
              <w:rPr>
                <w:b w:val="0"/>
                <w:sz w:val="13"/>
              </w:rPr>
              <w:t>Y4 Q3 (Jun 2030)</w:t>
            </w:r>
          </w:p>
        </w:tc>
        <w:tc>
          <w:tcPr>
            <w:tcW w:type="dxa" w:w="1928"/>
            <w:shd w:val="clear" w:fill="EAF4EF"/>
          </w:tcPr>
          <w:p>
            <w:pPr>
              <w:spacing w:after="20" w:before="20"/>
            </w:pPr>
            <w:r/>
            <w:r>
              <w:rPr>
                <w:b w:val="0"/>
                <w:sz w:val="13"/>
              </w:rPr>
              <w:t>CC BY-SA</w:t>
            </w:r>
          </w:p>
        </w:tc>
      </w:tr>
      <w:tr>
        <w:trPr>
          <w:cantSplit/>
        </w:trPr>
        <w:tc>
          <w:tcPr>
            <w:tcW w:type="dxa" w:w="510"/>
          </w:tcPr>
          <w:p>
            <w:pPr>
              <w:spacing w:after="20" w:before="20"/>
            </w:pPr>
            <w:r/>
            <w:r>
              <w:rPr>
                <w:b w:val="0"/>
                <w:sz w:val="13"/>
              </w:rPr>
              <w:t>D23</w:t>
            </w:r>
          </w:p>
        </w:tc>
        <w:tc>
          <w:tcPr>
            <w:tcW w:type="dxa" w:w="3912"/>
          </w:tcPr>
          <w:p>
            <w:pPr>
              <w:spacing w:after="20" w:before="20"/>
            </w:pPr>
            <w:r/>
            <w:r>
              <w:rPr>
                <w:b w:val="0"/>
                <w:sz w:val="13"/>
              </w:rPr>
              <w:t>BSS-1 standard text (six testable clauses), frozen after the taxonomy v2 re-opening</w:t>
            </w:r>
          </w:p>
        </w:tc>
        <w:tc>
          <w:tcPr>
            <w:tcW w:type="dxa" w:w="510"/>
          </w:tcPr>
          <w:p>
            <w:pPr>
              <w:spacing w:after="20" w:before="20"/>
            </w:pPr>
            <w:r/>
            <w:r>
              <w:rPr>
                <w:b w:val="0"/>
                <w:sz w:val="13"/>
              </w:rPr>
              <w:t>WP7</w:t>
            </w:r>
          </w:p>
        </w:tc>
        <w:tc>
          <w:tcPr>
            <w:tcW w:type="dxa" w:w="907"/>
          </w:tcPr>
          <w:p>
            <w:pPr>
              <w:spacing w:after="20" w:before="20"/>
            </w:pPr>
            <w:r/>
            <w:r>
              <w:rPr>
                <w:b w:val="0"/>
                <w:sz w:val="13"/>
              </w:rPr>
              <w:t>7.1, 3.5</w:t>
            </w:r>
          </w:p>
        </w:tc>
        <w:tc>
          <w:tcPr>
            <w:tcW w:type="dxa" w:w="1191"/>
          </w:tcPr>
          <w:p>
            <w:pPr>
              <w:spacing w:after="20" w:before="20"/>
            </w:pPr>
            <w:r/>
            <w:r>
              <w:rPr>
                <w:b w:val="0"/>
                <w:sz w:val="13"/>
              </w:rPr>
              <w:t>Y4 Q1 (Dec 2029)</w:t>
            </w:r>
          </w:p>
        </w:tc>
        <w:tc>
          <w:tcPr>
            <w:tcW w:type="dxa" w:w="1928"/>
          </w:tcPr>
          <w:p>
            <w:pPr>
              <w:spacing w:after="20" w:before="20"/>
            </w:pPr>
            <w:r/>
            <w:r>
              <w:rPr>
                <w:b w:val="0"/>
                <w:sz w:val="13"/>
              </w:rPr>
              <w:t>CC BY-SA</w:t>
            </w:r>
          </w:p>
        </w:tc>
      </w:tr>
      <w:tr>
        <w:trPr>
          <w:cantSplit/>
        </w:trPr>
        <w:tc>
          <w:tcPr>
            <w:tcW w:type="dxa" w:w="510"/>
            <w:shd w:val="clear" w:fill="EAF4EF"/>
          </w:tcPr>
          <w:p>
            <w:pPr>
              <w:spacing w:after="20" w:before="20"/>
            </w:pPr>
            <w:r/>
            <w:r>
              <w:rPr>
                <w:b w:val="0"/>
                <w:sz w:val="13"/>
              </w:rPr>
              <w:t>D24</w:t>
            </w:r>
          </w:p>
        </w:tc>
        <w:tc>
          <w:tcPr>
            <w:tcW w:type="dxa" w:w="3912"/>
            <w:shd w:val="clear" w:fill="EAF4EF"/>
          </w:tcPr>
          <w:p>
            <w:pPr>
              <w:spacing w:after="20" w:before="20"/>
            </w:pPr>
            <w:r/>
            <w:r>
              <w:rPr>
                <w:b w:val="0"/>
                <w:sz w:val="13"/>
              </w:rPr>
              <w:t>Test methods and auditor protocols per clause</w:t>
            </w:r>
          </w:p>
        </w:tc>
        <w:tc>
          <w:tcPr>
            <w:tcW w:type="dxa" w:w="510"/>
            <w:shd w:val="clear" w:fill="EAF4EF"/>
          </w:tcPr>
          <w:p>
            <w:pPr>
              <w:spacing w:after="20" w:before="20"/>
            </w:pPr>
            <w:r/>
            <w:r>
              <w:rPr>
                <w:b w:val="0"/>
                <w:sz w:val="13"/>
              </w:rPr>
              <w:t>WP7</w:t>
            </w:r>
          </w:p>
        </w:tc>
        <w:tc>
          <w:tcPr>
            <w:tcW w:type="dxa" w:w="907"/>
            <w:shd w:val="clear" w:fill="EAF4EF"/>
          </w:tcPr>
          <w:p>
            <w:pPr>
              <w:spacing w:after="20" w:before="20"/>
            </w:pPr>
            <w:r/>
            <w:r>
              <w:rPr>
                <w:b w:val="0"/>
                <w:sz w:val="13"/>
              </w:rPr>
              <w:t>7.3</w:t>
            </w:r>
          </w:p>
        </w:tc>
        <w:tc>
          <w:tcPr>
            <w:tcW w:type="dxa" w:w="1191"/>
            <w:shd w:val="clear" w:fill="EAF4EF"/>
          </w:tcPr>
          <w:p>
            <w:pPr>
              <w:spacing w:after="20" w:before="20"/>
            </w:pPr>
            <w:r/>
            <w:r>
              <w:rPr>
                <w:b w:val="0"/>
                <w:sz w:val="13"/>
              </w:rPr>
              <w:t>Y4 Q1 (Dec 2029)</w:t>
            </w:r>
          </w:p>
        </w:tc>
        <w:tc>
          <w:tcPr>
            <w:tcW w:type="dxa" w:w="1928"/>
            <w:shd w:val="clear" w:fill="EAF4EF"/>
          </w:tcPr>
          <w:p>
            <w:pPr>
              <w:spacing w:after="20" w:before="20"/>
            </w:pPr>
            <w:r/>
            <w:r>
              <w:rPr>
                <w:b w:val="0"/>
                <w:sz w:val="13"/>
              </w:rPr>
              <w:t>CC BY-SA</w:t>
            </w:r>
          </w:p>
        </w:tc>
      </w:tr>
      <w:tr>
        <w:trPr>
          <w:cantSplit/>
        </w:trPr>
        <w:tc>
          <w:tcPr>
            <w:tcW w:type="dxa" w:w="510"/>
          </w:tcPr>
          <w:p>
            <w:pPr>
              <w:spacing w:after="20" w:before="20"/>
            </w:pPr>
            <w:r/>
            <w:r>
              <w:rPr>
                <w:b w:val="0"/>
                <w:sz w:val="13"/>
              </w:rPr>
              <w:t>D25</w:t>
            </w:r>
          </w:p>
        </w:tc>
        <w:tc>
          <w:tcPr>
            <w:tcW w:type="dxa" w:w="3912"/>
          </w:tcPr>
          <w:p>
            <w:pPr>
              <w:spacing w:after="20" w:before="20"/>
            </w:pPr>
            <w:r/>
            <w:r>
              <w:rPr>
                <w:b w:val="0"/>
                <w:sz w:val="13"/>
              </w:rPr>
              <w:t>Certification scheme LV0–LV4 + auditor curriculum</w:t>
            </w:r>
          </w:p>
        </w:tc>
        <w:tc>
          <w:tcPr>
            <w:tcW w:type="dxa" w:w="510"/>
          </w:tcPr>
          <w:p>
            <w:pPr>
              <w:spacing w:after="20" w:before="20"/>
            </w:pPr>
            <w:r/>
            <w:r>
              <w:rPr>
                <w:b w:val="0"/>
                <w:sz w:val="13"/>
              </w:rPr>
              <w:t>WP7</w:t>
            </w:r>
          </w:p>
        </w:tc>
        <w:tc>
          <w:tcPr>
            <w:tcW w:type="dxa" w:w="907"/>
          </w:tcPr>
          <w:p>
            <w:pPr>
              <w:spacing w:after="20" w:before="20"/>
            </w:pPr>
            <w:r/>
            <w:r>
              <w:rPr>
                <w:b w:val="0"/>
                <w:sz w:val="13"/>
              </w:rPr>
              <w:t>7.4</w:t>
            </w:r>
          </w:p>
        </w:tc>
        <w:tc>
          <w:tcPr>
            <w:tcW w:type="dxa" w:w="1191"/>
          </w:tcPr>
          <w:p>
            <w:pPr>
              <w:spacing w:after="20" w:before="20"/>
            </w:pPr>
            <w:r/>
            <w:r>
              <w:rPr>
                <w:b w:val="0"/>
                <w:sz w:val="13"/>
              </w:rPr>
              <w:t>Y4 Q3 (Jun 2030)</w:t>
            </w:r>
          </w:p>
        </w:tc>
        <w:tc>
          <w:tcPr>
            <w:tcW w:type="dxa" w:w="1928"/>
          </w:tcPr>
          <w:p>
            <w:pPr>
              <w:spacing w:after="20" w:before="20"/>
            </w:pPr>
            <w:r/>
            <w:r>
              <w:rPr>
                <w:b w:val="0"/>
                <w:sz w:val="13"/>
              </w:rPr>
              <w:t>CC BY-SA</w:t>
            </w:r>
          </w:p>
        </w:tc>
      </w:tr>
      <w:tr>
        <w:trPr>
          <w:cantSplit/>
        </w:trPr>
        <w:tc>
          <w:tcPr>
            <w:tcW w:type="dxa" w:w="510"/>
            <w:shd w:val="clear" w:fill="EAF4EF"/>
          </w:tcPr>
          <w:p>
            <w:pPr>
              <w:spacing w:after="20" w:before="20"/>
            </w:pPr>
            <w:r/>
            <w:r>
              <w:rPr>
                <w:b w:val="0"/>
                <w:sz w:val="13"/>
              </w:rPr>
              <w:t>D26</w:t>
            </w:r>
          </w:p>
        </w:tc>
        <w:tc>
          <w:tcPr>
            <w:tcW w:type="dxa" w:w="3912"/>
            <w:shd w:val="clear" w:fill="EAF4EF"/>
          </w:tcPr>
          <w:p>
            <w:pPr>
              <w:spacing w:after="20" w:before="20"/>
            </w:pPr>
            <w:r/>
            <w:r>
              <w:rPr>
                <w:b w:val="0"/>
                <w:sz w:val="13"/>
              </w:rPr>
              <w:t>Crosswalk: AI Act, NIST RMF, ISO/IEC, IEEE</w:t>
            </w:r>
          </w:p>
        </w:tc>
        <w:tc>
          <w:tcPr>
            <w:tcW w:type="dxa" w:w="510"/>
            <w:shd w:val="clear" w:fill="EAF4EF"/>
          </w:tcPr>
          <w:p>
            <w:pPr>
              <w:spacing w:after="20" w:before="20"/>
            </w:pPr>
            <w:r/>
            <w:r>
              <w:rPr>
                <w:b w:val="0"/>
                <w:sz w:val="13"/>
              </w:rPr>
              <w:t>WP7</w:t>
            </w:r>
          </w:p>
        </w:tc>
        <w:tc>
          <w:tcPr>
            <w:tcW w:type="dxa" w:w="907"/>
            <w:shd w:val="clear" w:fill="EAF4EF"/>
          </w:tcPr>
          <w:p>
            <w:pPr>
              <w:spacing w:after="20" w:before="20"/>
            </w:pPr>
            <w:r/>
            <w:r>
              <w:rPr>
                <w:b w:val="0"/>
                <w:sz w:val="13"/>
              </w:rPr>
              <w:t>7.2</w:t>
            </w:r>
          </w:p>
        </w:tc>
        <w:tc>
          <w:tcPr>
            <w:tcW w:type="dxa" w:w="1191"/>
            <w:shd w:val="clear" w:fill="EAF4EF"/>
          </w:tcPr>
          <w:p>
            <w:pPr>
              <w:spacing w:after="20" w:before="20"/>
            </w:pPr>
            <w:r/>
            <w:r>
              <w:rPr>
                <w:b w:val="0"/>
                <w:sz w:val="13"/>
              </w:rPr>
              <w:t>Y3 Q2 (Mar 2029)</w:t>
            </w:r>
          </w:p>
        </w:tc>
        <w:tc>
          <w:tcPr>
            <w:tcW w:type="dxa" w:w="1928"/>
            <w:shd w:val="clear" w:fill="EAF4EF"/>
          </w:tcPr>
          <w:p>
            <w:pPr>
              <w:spacing w:after="20" w:before="20"/>
            </w:pPr>
            <w:r/>
            <w:r>
              <w:rPr>
                <w:b w:val="0"/>
                <w:sz w:val="13"/>
              </w:rPr>
              <w:t>CC BY</w:t>
            </w:r>
          </w:p>
        </w:tc>
      </w:tr>
      <w:tr>
        <w:trPr>
          <w:cantSplit/>
        </w:trPr>
        <w:tc>
          <w:tcPr>
            <w:tcW w:type="dxa" w:w="510"/>
          </w:tcPr>
          <w:p>
            <w:pPr>
              <w:spacing w:after="20" w:before="20"/>
            </w:pPr>
            <w:r/>
            <w:r>
              <w:rPr>
                <w:b w:val="0"/>
                <w:sz w:val="13"/>
              </w:rPr>
              <w:t>D27</w:t>
            </w:r>
          </w:p>
        </w:tc>
        <w:tc>
          <w:tcPr>
            <w:tcW w:type="dxa" w:w="3912"/>
          </w:tcPr>
          <w:p>
            <w:pPr>
              <w:spacing w:after="20" w:before="20"/>
            </w:pPr>
            <w:r/>
            <w:r>
              <w:rPr>
                <w:b w:val="0"/>
                <w:sz w:val="13"/>
              </w:rPr>
              <w:t>Regulatory pilot reports (2 authorities)</w:t>
            </w:r>
          </w:p>
        </w:tc>
        <w:tc>
          <w:tcPr>
            <w:tcW w:type="dxa" w:w="510"/>
          </w:tcPr>
          <w:p>
            <w:pPr>
              <w:spacing w:after="20" w:before="20"/>
            </w:pPr>
            <w:r/>
            <w:r>
              <w:rPr>
                <w:b w:val="0"/>
                <w:sz w:val="13"/>
              </w:rPr>
              <w:t>WP7</w:t>
            </w:r>
          </w:p>
        </w:tc>
        <w:tc>
          <w:tcPr>
            <w:tcW w:type="dxa" w:w="907"/>
          </w:tcPr>
          <w:p>
            <w:pPr>
              <w:spacing w:after="20" w:before="20"/>
            </w:pPr>
            <w:r/>
            <w:r>
              <w:rPr>
                <w:b w:val="0"/>
                <w:sz w:val="13"/>
              </w:rPr>
              <w:t>7.6</w:t>
            </w:r>
          </w:p>
        </w:tc>
        <w:tc>
          <w:tcPr>
            <w:tcW w:type="dxa" w:w="1191"/>
          </w:tcPr>
          <w:p>
            <w:pPr>
              <w:spacing w:after="20" w:before="20"/>
            </w:pPr>
            <w:r/>
            <w:r>
              <w:rPr>
                <w:b w:val="0"/>
                <w:sz w:val="13"/>
              </w:rPr>
              <w:t>Y5 Q3 (Jun 2031)</w:t>
            </w:r>
          </w:p>
        </w:tc>
        <w:tc>
          <w:tcPr>
            <w:tcW w:type="dxa" w:w="1928"/>
          </w:tcPr>
          <w:p>
            <w:pPr>
              <w:spacing w:after="20" w:before="20"/>
            </w:pPr>
            <w:r/>
            <w:r>
              <w:rPr>
                <w:b w:val="0"/>
                <w:sz w:val="13"/>
              </w:rPr>
              <w:t>CC BY</w:t>
            </w:r>
          </w:p>
        </w:tc>
      </w:tr>
      <w:tr>
        <w:trPr>
          <w:cantSplit/>
        </w:trPr>
        <w:tc>
          <w:tcPr>
            <w:tcW w:type="dxa" w:w="510"/>
            <w:shd w:val="clear" w:fill="EAF4EF"/>
          </w:tcPr>
          <w:p>
            <w:pPr>
              <w:spacing w:after="20" w:before="20"/>
            </w:pPr>
            <w:r/>
            <w:r>
              <w:rPr>
                <w:b w:val="0"/>
                <w:sz w:val="13"/>
              </w:rPr>
              <w:t>D28</w:t>
            </w:r>
          </w:p>
        </w:tc>
        <w:tc>
          <w:tcPr>
            <w:tcW w:type="dxa" w:w="3912"/>
            <w:shd w:val="clear" w:fill="EAF4EF"/>
          </w:tcPr>
          <w:p>
            <w:pPr>
              <w:spacing w:after="20" w:before="20"/>
            </w:pPr>
            <w:r/>
            <w:r>
              <w:rPr>
                <w:b w:val="0"/>
                <w:sz w:val="13"/>
              </w:rPr>
              <w:t>Deployment discipline + fit matrices</w:t>
            </w:r>
          </w:p>
        </w:tc>
        <w:tc>
          <w:tcPr>
            <w:tcW w:type="dxa" w:w="510"/>
            <w:shd w:val="clear" w:fill="EAF4EF"/>
          </w:tcPr>
          <w:p>
            <w:pPr>
              <w:spacing w:after="20" w:before="20"/>
            </w:pPr>
            <w:r/>
            <w:r>
              <w:rPr>
                <w:b w:val="0"/>
                <w:sz w:val="13"/>
              </w:rPr>
              <w:t>WP8</w:t>
            </w:r>
          </w:p>
        </w:tc>
        <w:tc>
          <w:tcPr>
            <w:tcW w:type="dxa" w:w="907"/>
            <w:shd w:val="clear" w:fill="EAF4EF"/>
          </w:tcPr>
          <w:p>
            <w:pPr>
              <w:spacing w:after="20" w:before="20"/>
            </w:pPr>
            <w:r/>
            <w:r>
              <w:rPr>
                <w:b w:val="0"/>
                <w:sz w:val="13"/>
              </w:rPr>
              <w:t>8.1</w:t>
            </w:r>
          </w:p>
        </w:tc>
        <w:tc>
          <w:tcPr>
            <w:tcW w:type="dxa" w:w="1191"/>
            <w:shd w:val="clear" w:fill="EAF4EF"/>
          </w:tcPr>
          <w:p>
            <w:pPr>
              <w:spacing w:after="20" w:before="20"/>
            </w:pPr>
            <w:r/>
            <w:r>
              <w:rPr>
                <w:b w:val="0"/>
                <w:sz w:val="13"/>
              </w:rPr>
              <w:t>Y3 Q1 (Dec 2028)</w:t>
            </w:r>
          </w:p>
        </w:tc>
        <w:tc>
          <w:tcPr>
            <w:tcW w:type="dxa" w:w="1928"/>
            <w:shd w:val="clear" w:fill="EAF4EF"/>
          </w:tcPr>
          <w:p>
            <w:pPr>
              <w:spacing w:after="20" w:before="20"/>
            </w:pPr>
            <w:r/>
            <w:r>
              <w:rPr>
                <w:b w:val="0"/>
                <w:sz w:val="13"/>
              </w:rPr>
              <w:t>CC BY-SA</w:t>
            </w:r>
          </w:p>
        </w:tc>
      </w:tr>
      <w:tr>
        <w:trPr>
          <w:cantSplit/>
        </w:trPr>
        <w:tc>
          <w:tcPr>
            <w:tcW w:type="dxa" w:w="510"/>
          </w:tcPr>
          <w:p>
            <w:pPr>
              <w:spacing w:after="20" w:before="20"/>
            </w:pPr>
            <w:r/>
            <w:r>
              <w:rPr>
                <w:b w:val="0"/>
                <w:sz w:val="13"/>
              </w:rPr>
              <w:t>D29</w:t>
            </w:r>
          </w:p>
        </w:tc>
        <w:tc>
          <w:tcPr>
            <w:tcW w:type="dxa" w:w="3912"/>
          </w:tcPr>
          <w:p>
            <w:pPr>
              <w:spacing w:after="20" w:before="20"/>
            </w:pPr>
            <w:r/>
            <w:r>
              <w:rPr>
                <w:b w:val="0"/>
                <w:sz w:val="13"/>
              </w:rPr>
              <w:t>Operator playbooks (monitoring, drift, incidents, agentic mandate and least privilege)</w:t>
            </w:r>
          </w:p>
        </w:tc>
        <w:tc>
          <w:tcPr>
            <w:tcW w:type="dxa" w:w="510"/>
          </w:tcPr>
          <w:p>
            <w:pPr>
              <w:spacing w:after="20" w:before="20"/>
            </w:pPr>
            <w:r/>
            <w:r>
              <w:rPr>
                <w:b w:val="0"/>
                <w:sz w:val="13"/>
              </w:rPr>
              <w:t>WP8</w:t>
            </w:r>
          </w:p>
        </w:tc>
        <w:tc>
          <w:tcPr>
            <w:tcW w:type="dxa" w:w="907"/>
          </w:tcPr>
          <w:p>
            <w:pPr>
              <w:spacing w:after="20" w:before="20"/>
            </w:pPr>
            <w:r/>
            <w:r>
              <w:rPr>
                <w:b w:val="0"/>
                <w:sz w:val="13"/>
              </w:rPr>
              <w:t>8.2, 8.5</w:t>
            </w:r>
          </w:p>
        </w:tc>
        <w:tc>
          <w:tcPr>
            <w:tcW w:type="dxa" w:w="1191"/>
          </w:tcPr>
          <w:p>
            <w:pPr>
              <w:spacing w:after="20" w:before="20"/>
            </w:pPr>
            <w:r/>
            <w:r>
              <w:rPr>
                <w:b w:val="0"/>
                <w:sz w:val="13"/>
              </w:rPr>
              <w:t>Y4 Q3 (Jun 2030)</w:t>
            </w:r>
          </w:p>
        </w:tc>
        <w:tc>
          <w:tcPr>
            <w:tcW w:type="dxa" w:w="1928"/>
          </w:tcPr>
          <w:p>
            <w:pPr>
              <w:spacing w:after="20" w:before="20"/>
            </w:pPr>
            <w:r/>
            <w:r>
              <w:rPr>
                <w:b w:val="0"/>
                <w:sz w:val="13"/>
              </w:rPr>
              <w:t>CC BY-SA</w:t>
            </w:r>
          </w:p>
        </w:tc>
      </w:tr>
      <w:tr>
        <w:trPr>
          <w:cantSplit/>
        </w:trPr>
        <w:tc>
          <w:tcPr>
            <w:tcW w:type="dxa" w:w="510"/>
            <w:shd w:val="clear" w:fill="EAF4EF"/>
          </w:tcPr>
          <w:p>
            <w:pPr>
              <w:spacing w:after="20" w:before="20"/>
            </w:pPr>
            <w:r/>
            <w:r>
              <w:rPr>
                <w:b w:val="0"/>
                <w:sz w:val="13"/>
              </w:rPr>
              <w:t>D30</w:t>
            </w:r>
          </w:p>
        </w:tc>
        <w:tc>
          <w:tcPr>
            <w:tcW w:type="dxa" w:w="3912"/>
            <w:shd w:val="clear" w:fill="EAF4EF"/>
          </w:tcPr>
          <w:p>
            <w:pPr>
              <w:spacing w:after="20" w:before="20"/>
            </w:pPr>
            <w:r/>
            <w:r>
              <w:rPr>
                <w:b w:val="0"/>
                <w:sz w:val="13"/>
              </w:rPr>
              <w:t>Rescue pathway field report</w:t>
            </w:r>
          </w:p>
        </w:tc>
        <w:tc>
          <w:tcPr>
            <w:tcW w:type="dxa" w:w="510"/>
            <w:shd w:val="clear" w:fill="EAF4EF"/>
          </w:tcPr>
          <w:p>
            <w:pPr>
              <w:spacing w:after="20" w:before="20"/>
            </w:pPr>
            <w:r/>
            <w:r>
              <w:rPr>
                <w:b w:val="0"/>
                <w:sz w:val="13"/>
              </w:rPr>
              <w:t>WP8</w:t>
            </w:r>
          </w:p>
        </w:tc>
        <w:tc>
          <w:tcPr>
            <w:tcW w:type="dxa" w:w="907"/>
            <w:shd w:val="clear" w:fill="EAF4EF"/>
          </w:tcPr>
          <w:p>
            <w:pPr>
              <w:spacing w:after="20" w:before="20"/>
            </w:pPr>
            <w:r/>
            <w:r>
              <w:rPr>
                <w:b w:val="0"/>
                <w:sz w:val="13"/>
              </w:rPr>
              <w:t>8.3, 8.5</w:t>
            </w:r>
          </w:p>
        </w:tc>
        <w:tc>
          <w:tcPr>
            <w:tcW w:type="dxa" w:w="1191"/>
            <w:shd w:val="clear" w:fill="EAF4EF"/>
          </w:tcPr>
          <w:p>
            <w:pPr>
              <w:spacing w:after="20" w:before="20"/>
            </w:pPr>
            <w:r/>
            <w:r>
              <w:rPr>
                <w:b w:val="0"/>
                <w:sz w:val="13"/>
              </w:rPr>
              <w:t>Y5 Q1 (Dec 2030)</w:t>
            </w:r>
          </w:p>
        </w:tc>
        <w:tc>
          <w:tcPr>
            <w:tcW w:type="dxa" w:w="1928"/>
            <w:shd w:val="clear" w:fill="EAF4EF"/>
          </w:tcPr>
          <w:p>
            <w:pPr>
              <w:spacing w:after="20" w:before="20"/>
            </w:pPr>
            <w:r/>
            <w:r>
              <w:rPr>
                <w:b w:val="0"/>
                <w:sz w:val="13"/>
              </w:rPr>
              <w:t>CC BY</w:t>
            </w:r>
          </w:p>
        </w:tc>
      </w:tr>
      <w:tr>
        <w:trPr>
          <w:cantSplit/>
        </w:trPr>
        <w:tc>
          <w:tcPr>
            <w:tcW w:type="dxa" w:w="510"/>
          </w:tcPr>
          <w:p>
            <w:pPr>
              <w:spacing w:after="20" w:before="20"/>
            </w:pPr>
            <w:r/>
            <w:r>
              <w:rPr>
                <w:b w:val="0"/>
                <w:sz w:val="13"/>
              </w:rPr>
              <w:t>D31</w:t>
            </w:r>
          </w:p>
        </w:tc>
        <w:tc>
          <w:tcPr>
            <w:tcW w:type="dxa" w:w="3912"/>
          </w:tcPr>
          <w:p>
            <w:pPr>
              <w:spacing w:after="20" w:before="20"/>
            </w:pPr>
            <w:r/>
            <w:r>
              <w:rPr>
                <w:b w:val="0"/>
                <w:sz w:val="13"/>
              </w:rPr>
              <w:t>Incident taxonomy v2</w:t>
            </w:r>
          </w:p>
        </w:tc>
        <w:tc>
          <w:tcPr>
            <w:tcW w:type="dxa" w:w="510"/>
          </w:tcPr>
          <w:p>
            <w:pPr>
              <w:spacing w:after="20" w:before="20"/>
            </w:pPr>
            <w:r/>
            <w:r>
              <w:rPr>
                <w:b w:val="0"/>
                <w:sz w:val="13"/>
              </w:rPr>
              <w:t>WP8</w:t>
            </w:r>
          </w:p>
        </w:tc>
        <w:tc>
          <w:tcPr>
            <w:tcW w:type="dxa" w:w="907"/>
          </w:tcPr>
          <w:p>
            <w:pPr>
              <w:spacing w:after="20" w:before="20"/>
            </w:pPr>
            <w:r/>
            <w:r>
              <w:rPr>
                <w:b w:val="0"/>
                <w:sz w:val="13"/>
              </w:rPr>
              <w:t>8.4</w:t>
            </w:r>
          </w:p>
        </w:tc>
        <w:tc>
          <w:tcPr>
            <w:tcW w:type="dxa" w:w="1191"/>
          </w:tcPr>
          <w:p>
            <w:pPr>
              <w:spacing w:after="20" w:before="20"/>
            </w:pPr>
            <w:r/>
            <w:r>
              <w:rPr>
                <w:b w:val="0"/>
                <w:sz w:val="13"/>
              </w:rPr>
              <w:t>Y5 Q2 (Mar 2031)</w:t>
            </w:r>
          </w:p>
        </w:tc>
        <w:tc>
          <w:tcPr>
            <w:tcW w:type="dxa" w:w="1928"/>
          </w:tcPr>
          <w:p>
            <w:pPr>
              <w:spacing w:after="20" w:before="20"/>
            </w:pPr>
            <w:r/>
            <w:r>
              <w:rPr>
                <w:b w:val="0"/>
                <w:sz w:val="13"/>
              </w:rPr>
              <w:t>CC BY-SA</w:t>
            </w:r>
          </w:p>
        </w:tc>
      </w:tr>
      <w:tr>
        <w:trPr>
          <w:cantSplit/>
        </w:trPr>
        <w:tc>
          <w:tcPr>
            <w:tcW w:type="dxa" w:w="510"/>
            <w:shd w:val="clear" w:fill="EAF4EF"/>
          </w:tcPr>
          <w:p>
            <w:pPr>
              <w:spacing w:after="20" w:before="20"/>
            </w:pPr>
            <w:r/>
            <w:r>
              <w:rPr>
                <w:b w:val="0"/>
                <w:sz w:val="13"/>
              </w:rPr>
              <w:t>D32</w:t>
            </w:r>
          </w:p>
        </w:tc>
        <w:tc>
          <w:tcPr>
            <w:tcW w:type="dxa" w:w="3912"/>
            <w:shd w:val="clear" w:fill="EAF4EF"/>
          </w:tcPr>
          <w:p>
            <w:pPr>
              <w:spacing w:after="20" w:before="20"/>
            </w:pPr>
            <w:r/>
            <w:r>
              <w:rPr>
                <w:b w:val="0"/>
                <w:sz w:val="13"/>
              </w:rPr>
              <w:t>Peer-reviewed publication pipeline (P1–P10)</w:t>
            </w:r>
          </w:p>
        </w:tc>
        <w:tc>
          <w:tcPr>
            <w:tcW w:type="dxa" w:w="510"/>
            <w:shd w:val="clear" w:fill="EAF4EF"/>
          </w:tcPr>
          <w:p>
            <w:pPr>
              <w:spacing w:after="20" w:before="20"/>
            </w:pPr>
            <w:r/>
            <w:r>
              <w:rPr>
                <w:b w:val="0"/>
                <w:sz w:val="13"/>
              </w:rPr>
              <w:t>WP9</w:t>
            </w:r>
          </w:p>
        </w:tc>
        <w:tc>
          <w:tcPr>
            <w:tcW w:type="dxa" w:w="907"/>
            <w:shd w:val="clear" w:fill="EAF4EF"/>
          </w:tcPr>
          <w:p>
            <w:pPr>
              <w:spacing w:after="20" w:before="20"/>
            </w:pPr>
            <w:r/>
            <w:r>
              <w:rPr>
                <w:b w:val="0"/>
                <w:sz w:val="13"/>
              </w:rPr>
              <w:t>9.1</w:t>
            </w:r>
          </w:p>
        </w:tc>
        <w:tc>
          <w:tcPr>
            <w:tcW w:type="dxa" w:w="1191"/>
            <w:shd w:val="clear" w:fill="EAF4EF"/>
          </w:tcPr>
          <w:p>
            <w:pPr>
              <w:spacing w:after="20" w:before="20"/>
            </w:pPr>
            <w:r/>
            <w:r>
              <w:rPr>
                <w:b w:val="0"/>
                <w:sz w:val="13"/>
              </w:rPr>
              <w:t>rolling</w:t>
            </w:r>
          </w:p>
        </w:tc>
        <w:tc>
          <w:tcPr>
            <w:tcW w:type="dxa" w:w="1928"/>
            <w:shd w:val="clear" w:fill="EAF4EF"/>
          </w:tcPr>
          <w:p>
            <w:pPr>
              <w:spacing w:after="20" w:before="20"/>
            </w:pPr>
            <w:r/>
            <w:r>
              <w:rPr>
                <w:b w:val="0"/>
                <w:sz w:val="13"/>
              </w:rPr>
              <w:t>CC BY</w:t>
            </w:r>
          </w:p>
        </w:tc>
      </w:tr>
      <w:tr>
        <w:trPr>
          <w:cantSplit/>
        </w:trPr>
        <w:tc>
          <w:tcPr>
            <w:tcW w:type="dxa" w:w="510"/>
          </w:tcPr>
          <w:p>
            <w:pPr>
              <w:spacing w:after="20" w:before="20"/>
            </w:pPr>
            <w:r/>
            <w:r>
              <w:rPr>
                <w:b w:val="0"/>
                <w:sz w:val="13"/>
              </w:rPr>
              <w:t>D33</w:t>
            </w:r>
          </w:p>
        </w:tc>
        <w:tc>
          <w:tcPr>
            <w:tcW w:type="dxa" w:w="3912"/>
          </w:tcPr>
          <w:p>
            <w:pPr>
              <w:spacing w:after="20" w:before="20"/>
            </w:pPr>
            <w:r/>
            <w:r>
              <w:rPr>
                <w:b w:val="0"/>
                <w:sz w:val="13"/>
              </w:rPr>
              <w:t>Open data releases with documentation</w:t>
            </w:r>
          </w:p>
        </w:tc>
        <w:tc>
          <w:tcPr>
            <w:tcW w:type="dxa" w:w="510"/>
          </w:tcPr>
          <w:p>
            <w:pPr>
              <w:spacing w:after="20" w:before="20"/>
            </w:pPr>
            <w:r/>
            <w:r>
              <w:rPr>
                <w:b w:val="0"/>
                <w:sz w:val="13"/>
              </w:rPr>
              <w:t>WP9</w:t>
            </w:r>
          </w:p>
        </w:tc>
        <w:tc>
          <w:tcPr>
            <w:tcW w:type="dxa" w:w="907"/>
          </w:tcPr>
          <w:p>
            <w:pPr>
              <w:spacing w:after="20" w:before="20"/>
            </w:pPr>
            <w:r/>
            <w:r>
              <w:rPr>
                <w:b w:val="0"/>
                <w:sz w:val="13"/>
              </w:rPr>
              <w:t>9.2</w:t>
            </w:r>
          </w:p>
        </w:tc>
        <w:tc>
          <w:tcPr>
            <w:tcW w:type="dxa" w:w="1191"/>
          </w:tcPr>
          <w:p>
            <w:pPr>
              <w:spacing w:after="20" w:before="20"/>
            </w:pPr>
            <w:r/>
            <w:r>
              <w:rPr>
                <w:b w:val="0"/>
                <w:sz w:val="13"/>
              </w:rPr>
              <w:t>rolling</w:t>
            </w:r>
          </w:p>
        </w:tc>
        <w:tc>
          <w:tcPr>
            <w:tcW w:type="dxa" w:w="1928"/>
          </w:tcPr>
          <w:p>
            <w:pPr>
              <w:spacing w:after="20" w:before="20"/>
            </w:pPr>
            <w:r/>
            <w:r>
              <w:rPr>
                <w:b w:val="0"/>
                <w:sz w:val="13"/>
              </w:rPr>
              <w:t>CC BY / CC0</w:t>
            </w:r>
          </w:p>
        </w:tc>
      </w:tr>
      <w:tr>
        <w:trPr>
          <w:cantSplit/>
        </w:trPr>
        <w:tc>
          <w:tcPr>
            <w:tcW w:type="dxa" w:w="510"/>
            <w:shd w:val="clear" w:fill="EAF4EF"/>
          </w:tcPr>
          <w:p>
            <w:pPr>
              <w:spacing w:after="20" w:before="20"/>
            </w:pPr>
            <w:r/>
            <w:r>
              <w:rPr>
                <w:b w:val="0"/>
                <w:sz w:val="13"/>
              </w:rPr>
              <w:t>D34</w:t>
            </w:r>
          </w:p>
        </w:tc>
        <w:tc>
          <w:tcPr>
            <w:tcW w:type="dxa" w:w="3912"/>
            <w:shd w:val="clear" w:fill="EAF4EF"/>
          </w:tcPr>
          <w:p>
            <w:pPr>
              <w:spacing w:after="20" w:before="20"/>
            </w:pPr>
            <w:r/>
            <w:r>
              <w:rPr>
                <w:b w:val="0"/>
                <w:sz w:val="13"/>
              </w:rPr>
              <w:t>Training school (two editions in Core; see 5.2)</w:t>
            </w:r>
          </w:p>
        </w:tc>
        <w:tc>
          <w:tcPr>
            <w:tcW w:type="dxa" w:w="510"/>
            <w:shd w:val="clear" w:fill="EAF4EF"/>
          </w:tcPr>
          <w:p>
            <w:pPr>
              <w:spacing w:after="20" w:before="20"/>
            </w:pPr>
            <w:r/>
            <w:r>
              <w:rPr>
                <w:b w:val="0"/>
                <w:sz w:val="13"/>
              </w:rPr>
              <w:t>WP9</w:t>
            </w:r>
          </w:p>
        </w:tc>
        <w:tc>
          <w:tcPr>
            <w:tcW w:type="dxa" w:w="907"/>
            <w:shd w:val="clear" w:fill="EAF4EF"/>
          </w:tcPr>
          <w:p>
            <w:pPr>
              <w:spacing w:after="20" w:before="20"/>
            </w:pPr>
            <w:r/>
            <w:r>
              <w:rPr>
                <w:b w:val="0"/>
                <w:sz w:val="13"/>
              </w:rPr>
              <w:t>9.3</w:t>
            </w:r>
          </w:p>
        </w:tc>
        <w:tc>
          <w:tcPr>
            <w:tcW w:type="dxa" w:w="1191"/>
            <w:shd w:val="clear" w:fill="EAF4EF"/>
          </w:tcPr>
          <w:p>
            <w:pPr>
              <w:spacing w:after="20" w:before="20"/>
            </w:pPr>
            <w:r/>
            <w:r>
              <w:rPr>
                <w:b w:val="0"/>
                <w:sz w:val="13"/>
              </w:rPr>
              <w:t>Y4 Q4 (Sep 2030)</w:t>
            </w:r>
          </w:p>
        </w:tc>
        <w:tc>
          <w:tcPr>
            <w:tcW w:type="dxa" w:w="1928"/>
            <w:shd w:val="clear" w:fill="EAF4EF"/>
          </w:tcPr>
          <w:p>
            <w:pPr>
              <w:spacing w:after="20" w:before="20"/>
            </w:pPr>
            <w:r/>
            <w:r>
              <w:rPr>
                <w:b w:val="0"/>
                <w:sz w:val="13"/>
              </w:rPr>
              <w:t>CC BY-SA</w:t>
            </w:r>
          </w:p>
        </w:tc>
      </w:tr>
      <w:tr>
        <w:trPr>
          <w:cantSplit/>
        </w:trPr>
        <w:tc>
          <w:tcPr>
            <w:tcW w:type="dxa" w:w="510"/>
          </w:tcPr>
          <w:p>
            <w:pPr>
              <w:spacing w:after="20" w:before="20"/>
            </w:pPr>
            <w:r/>
            <w:r>
              <w:rPr>
                <w:b w:val="0"/>
                <w:sz w:val="13"/>
              </w:rPr>
              <w:t>D35</w:t>
            </w:r>
          </w:p>
        </w:tc>
        <w:tc>
          <w:tcPr>
            <w:tcW w:type="dxa" w:w="3912"/>
          </w:tcPr>
          <w:p>
            <w:pPr>
              <w:spacing w:after="20" w:before="20"/>
            </w:pPr>
            <w:r/>
            <w:r>
              <w:rPr>
                <w:b w:val="0"/>
                <w:sz w:val="13"/>
              </w:rPr>
              <w:t>Authority briefings and public reports</w:t>
            </w:r>
          </w:p>
        </w:tc>
        <w:tc>
          <w:tcPr>
            <w:tcW w:type="dxa" w:w="510"/>
          </w:tcPr>
          <w:p>
            <w:pPr>
              <w:spacing w:after="20" w:before="20"/>
            </w:pPr>
            <w:r/>
            <w:r>
              <w:rPr>
                <w:b w:val="0"/>
                <w:sz w:val="13"/>
              </w:rPr>
              <w:t>WP9</w:t>
            </w:r>
          </w:p>
        </w:tc>
        <w:tc>
          <w:tcPr>
            <w:tcW w:type="dxa" w:w="907"/>
          </w:tcPr>
          <w:p>
            <w:pPr>
              <w:spacing w:after="20" w:before="20"/>
            </w:pPr>
            <w:r/>
            <w:r>
              <w:rPr>
                <w:b w:val="0"/>
                <w:sz w:val="13"/>
              </w:rPr>
              <w:t>9.4</w:t>
            </w:r>
          </w:p>
        </w:tc>
        <w:tc>
          <w:tcPr>
            <w:tcW w:type="dxa" w:w="1191"/>
          </w:tcPr>
          <w:p>
            <w:pPr>
              <w:spacing w:after="20" w:before="20"/>
            </w:pPr>
            <w:r/>
            <w:r>
              <w:rPr>
                <w:b w:val="0"/>
                <w:sz w:val="13"/>
              </w:rPr>
              <w:t>rolling</w:t>
            </w:r>
          </w:p>
        </w:tc>
        <w:tc>
          <w:tcPr>
            <w:tcW w:type="dxa" w:w="1928"/>
          </w:tcPr>
          <w:p>
            <w:pPr>
              <w:spacing w:after="20" w:before="20"/>
            </w:pPr>
            <w:r/>
            <w:r>
              <w:rPr>
                <w:b w:val="0"/>
                <w:sz w:val="13"/>
              </w:rPr>
              <w:t>CC BY</w:t>
            </w:r>
          </w:p>
        </w:tc>
      </w:tr>
      <w:tr>
        <w:trPr>
          <w:cantSplit/>
        </w:trPr>
        <w:tc>
          <w:tcPr>
            <w:tcW w:type="dxa" w:w="510"/>
            <w:shd w:val="clear" w:fill="EAF4EF"/>
          </w:tcPr>
          <w:p>
            <w:pPr>
              <w:spacing w:after="20" w:before="20"/>
            </w:pPr>
            <w:r/>
            <w:r>
              <w:rPr>
                <w:b w:val="0"/>
                <w:sz w:val="13"/>
              </w:rPr>
              <w:t>D36</w:t>
            </w:r>
          </w:p>
        </w:tc>
        <w:tc>
          <w:tcPr>
            <w:tcW w:type="dxa" w:w="3912"/>
            <w:shd w:val="clear" w:fill="EAF4EF"/>
          </w:tcPr>
          <w:p>
            <w:pPr>
              <w:spacing w:after="20" w:before="20"/>
            </w:pPr>
            <w:r/>
            <w:r>
              <w:rPr>
                <w:b w:val="0"/>
                <w:sz w:val="13"/>
              </w:rPr>
              <w:t>Negative-results register</w:t>
            </w:r>
          </w:p>
        </w:tc>
        <w:tc>
          <w:tcPr>
            <w:tcW w:type="dxa" w:w="510"/>
            <w:shd w:val="clear" w:fill="EAF4EF"/>
          </w:tcPr>
          <w:p>
            <w:pPr>
              <w:spacing w:after="20" w:before="20"/>
            </w:pPr>
            <w:r/>
            <w:r>
              <w:rPr>
                <w:b w:val="0"/>
                <w:sz w:val="13"/>
              </w:rPr>
              <w:t>WP9</w:t>
            </w:r>
          </w:p>
        </w:tc>
        <w:tc>
          <w:tcPr>
            <w:tcW w:type="dxa" w:w="907"/>
            <w:shd w:val="clear" w:fill="EAF4EF"/>
          </w:tcPr>
          <w:p>
            <w:pPr>
              <w:spacing w:after="20" w:before="20"/>
            </w:pPr>
            <w:r/>
            <w:r>
              <w:rPr>
                <w:b w:val="0"/>
                <w:sz w:val="13"/>
              </w:rPr>
              <w:t>1.5, 9.2</w:t>
            </w:r>
          </w:p>
        </w:tc>
        <w:tc>
          <w:tcPr>
            <w:tcW w:type="dxa" w:w="1191"/>
            <w:shd w:val="clear" w:fill="EAF4EF"/>
          </w:tcPr>
          <w:p>
            <w:pPr>
              <w:spacing w:after="20" w:before="20"/>
            </w:pPr>
            <w:r/>
            <w:r>
              <w:rPr>
                <w:b w:val="0"/>
                <w:sz w:val="13"/>
              </w:rPr>
              <w:t>rolling</w:t>
            </w:r>
          </w:p>
        </w:tc>
        <w:tc>
          <w:tcPr>
            <w:tcW w:type="dxa" w:w="1928"/>
            <w:shd w:val="clear" w:fill="EAF4EF"/>
          </w:tcPr>
          <w:p>
            <w:pPr>
              <w:spacing w:after="20" w:before="20"/>
            </w:pPr>
            <w:r/>
            <w:r>
              <w:rPr>
                <w:b w:val="0"/>
                <w:sz w:val="13"/>
              </w:rPr>
              <w:t>CC0</w:t>
            </w:r>
          </w:p>
        </w:tc>
      </w:tr>
      <w:tr>
        <w:trPr>
          <w:cantSplit/>
        </w:trPr>
        <w:tc>
          <w:tcPr>
            <w:tcW w:type="dxa" w:w="510"/>
          </w:tcPr>
          <w:p>
            <w:pPr>
              <w:spacing w:after="20" w:before="20"/>
            </w:pPr>
            <w:r/>
            <w:r>
              <w:rPr>
                <w:b w:val="0"/>
                <w:sz w:val="13"/>
              </w:rPr>
              <w:t>D37</w:t>
            </w:r>
          </w:p>
        </w:tc>
        <w:tc>
          <w:tcPr>
            <w:tcW w:type="dxa" w:w="3912"/>
          </w:tcPr>
          <w:p>
            <w:pPr>
              <w:spacing w:after="20" w:before="20"/>
            </w:pPr>
            <w:r/>
            <w:r>
              <w:rPr>
                <w:b w:val="0"/>
                <w:sz w:val="13"/>
              </w:rPr>
              <w:t>Sustainability plan + standing-body transition</w:t>
            </w:r>
          </w:p>
        </w:tc>
        <w:tc>
          <w:tcPr>
            <w:tcW w:type="dxa" w:w="510"/>
          </w:tcPr>
          <w:p>
            <w:pPr>
              <w:spacing w:after="20" w:before="20"/>
            </w:pPr>
            <w:r/>
            <w:r>
              <w:rPr>
                <w:b w:val="0"/>
                <w:sz w:val="13"/>
              </w:rPr>
              <w:t>WP9</w:t>
            </w:r>
          </w:p>
        </w:tc>
        <w:tc>
          <w:tcPr>
            <w:tcW w:type="dxa" w:w="907"/>
          </w:tcPr>
          <w:p>
            <w:pPr>
              <w:spacing w:after="20" w:before="20"/>
            </w:pPr>
            <w:r/>
            <w:r>
              <w:rPr>
                <w:b w:val="0"/>
                <w:sz w:val="13"/>
              </w:rPr>
              <w:t>9.5</w:t>
            </w:r>
          </w:p>
        </w:tc>
        <w:tc>
          <w:tcPr>
            <w:tcW w:type="dxa" w:w="1191"/>
          </w:tcPr>
          <w:p>
            <w:pPr>
              <w:spacing w:after="20" w:before="20"/>
            </w:pPr>
            <w:r/>
            <w:r>
              <w:rPr>
                <w:b w:val="0"/>
                <w:sz w:val="13"/>
              </w:rPr>
              <w:t>Y5 Q3 (Jun 2031)</w:t>
            </w:r>
          </w:p>
        </w:tc>
        <w:tc>
          <w:tcPr>
            <w:tcW w:type="dxa" w:w="1928"/>
          </w:tcPr>
          <w:p>
            <w:pPr>
              <w:spacing w:after="20" w:before="20"/>
            </w:pPr>
            <w:r/>
            <w:r>
              <w:rPr>
                <w:b w:val="0"/>
                <w:sz w:val="13"/>
              </w:rPr>
              <w:t>CC BY</w:t>
            </w:r>
          </w:p>
        </w:tc>
      </w:tr>
      <w:tr>
        <w:trPr>
          <w:cantSplit/>
        </w:trPr>
        <w:tc>
          <w:tcPr>
            <w:tcW w:type="dxa" w:w="510"/>
            <w:shd w:val="clear" w:fill="EAF4EF"/>
          </w:tcPr>
          <w:p>
            <w:pPr>
              <w:spacing w:after="20" w:before="20"/>
            </w:pPr>
            <w:r/>
            <w:r>
              <w:rPr>
                <w:b w:val="0"/>
                <w:sz w:val="13"/>
              </w:rPr>
              <w:t>D38</w:t>
            </w:r>
          </w:p>
        </w:tc>
        <w:tc>
          <w:tcPr>
            <w:tcW w:type="dxa" w:w="3912"/>
            <w:shd w:val="clear" w:fill="EAF4EF"/>
          </w:tcPr>
          <w:p>
            <w:pPr>
              <w:spacing w:after="20" w:before="20"/>
            </w:pPr>
            <w:r/>
            <w:r>
              <w:rPr>
                <w:b w:val="0"/>
                <w:sz w:val="13"/>
              </w:rPr>
              <w:t>Programme final report</w:t>
            </w:r>
          </w:p>
        </w:tc>
        <w:tc>
          <w:tcPr>
            <w:tcW w:type="dxa" w:w="510"/>
            <w:shd w:val="clear" w:fill="EAF4EF"/>
          </w:tcPr>
          <w:p>
            <w:pPr>
              <w:spacing w:after="20" w:before="20"/>
            </w:pPr>
            <w:r/>
            <w:r>
              <w:rPr>
                <w:b w:val="0"/>
                <w:sz w:val="13"/>
              </w:rPr>
              <w:t>WP9</w:t>
            </w:r>
          </w:p>
        </w:tc>
        <w:tc>
          <w:tcPr>
            <w:tcW w:type="dxa" w:w="907"/>
            <w:shd w:val="clear" w:fill="EAF4EF"/>
          </w:tcPr>
          <w:p>
            <w:pPr>
              <w:spacing w:after="20" w:before="20"/>
            </w:pPr>
            <w:r/>
            <w:r>
              <w:rPr>
                <w:b w:val="0"/>
                <w:sz w:val="13"/>
              </w:rPr>
              <w:t>9.5</w:t>
            </w:r>
          </w:p>
        </w:tc>
        <w:tc>
          <w:tcPr>
            <w:tcW w:type="dxa" w:w="1191"/>
            <w:shd w:val="clear" w:fill="EAF4EF"/>
          </w:tcPr>
          <w:p>
            <w:pPr>
              <w:spacing w:after="20" w:before="20"/>
            </w:pPr>
            <w:r/>
            <w:r>
              <w:rPr>
                <w:b w:val="0"/>
                <w:sz w:val="13"/>
              </w:rPr>
              <w:t>Y5 Q3 (Jun 2031)</w:t>
            </w:r>
          </w:p>
        </w:tc>
        <w:tc>
          <w:tcPr>
            <w:tcW w:type="dxa" w:w="1928"/>
            <w:shd w:val="clear" w:fill="EAF4EF"/>
          </w:tcPr>
          <w:p>
            <w:pPr>
              <w:spacing w:after="20" w:before="20"/>
            </w:pPr>
            <w:r/>
            <w:r>
              <w:rPr>
                <w:b w:val="0"/>
                <w:sz w:val="13"/>
              </w:rPr>
              <w:t>CC BY</w:t>
            </w:r>
          </w:p>
        </w:tc>
      </w:tr>
    </w:tbl>
    <w:p>
      <w:pPr>
        <w:spacing w:after="100"/>
      </w:pPr>
      <w:r>
        <w:rPr>
          <w:b w:val="0"/>
          <w:i/>
          <w:sz w:val="16"/>
        </w:rPr>
        <w:t>Table — 38 deliverables, each against the task that produces it and the quarter that task ends in. Where more than one task produces a deliverable, the target is the later of them: D23 is dated from the re-opening of the clause set against taxonomy v2 (3.5) rather than from the end of drafting (7.1), which is the dependency 4.2 states.</w:t>
      </w:r>
    </w:p>
    <w:p>
      <w:pPr>
        <w:pStyle w:val="Heading2"/>
      </w:pPr>
      <w:r>
        <w:t>3.1 New work in v1.1 and the deliverables that carry it</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1814"/>
            <w:shd w:val="clear" w:fill="0F2622"/>
          </w:tcPr>
          <w:p>
            <w:pPr>
              <w:spacing w:after="20" w:before="20"/>
            </w:pPr>
            <w:r/>
            <w:r>
              <w:rPr>
                <w:b/>
                <w:color w:val="FFFFFF"/>
                <w:sz w:val="14"/>
              </w:rPr>
              <w:t>Group (v1.3)</w:t>
            </w:r>
          </w:p>
        </w:tc>
        <w:tc>
          <w:tcPr>
            <w:tcW w:type="dxa" w:w="3628"/>
            <w:shd w:val="clear" w:fill="0F2622"/>
          </w:tcPr>
          <w:p>
            <w:pPr>
              <w:spacing w:after="20" w:before="20"/>
            </w:pPr>
            <w:r/>
            <w:r>
              <w:rPr>
                <w:b/>
                <w:color w:val="FFFFFF"/>
                <w:sz w:val="14"/>
              </w:rPr>
              <w:t>What it requires</w:t>
            </w:r>
          </w:p>
        </w:tc>
        <w:tc>
          <w:tcPr>
            <w:tcW w:type="dxa" w:w="737"/>
            <w:shd w:val="clear" w:fill="0F2622"/>
          </w:tcPr>
          <w:p>
            <w:pPr>
              <w:spacing w:after="20" w:before="20"/>
            </w:pPr>
            <w:r/>
            <w:r>
              <w:rPr>
                <w:b/>
                <w:color w:val="FFFFFF"/>
                <w:sz w:val="14"/>
              </w:rPr>
              <w:t>New task</w:t>
            </w:r>
          </w:p>
        </w:tc>
        <w:tc>
          <w:tcPr>
            <w:tcW w:type="dxa" w:w="1020"/>
            <w:shd w:val="clear" w:fill="0F2622"/>
          </w:tcPr>
          <w:p>
            <w:pPr>
              <w:spacing w:after="20" w:before="20"/>
            </w:pPr>
            <w:r/>
            <w:r>
              <w:rPr>
                <w:b/>
                <w:color w:val="FFFFFF"/>
                <w:sz w:val="14"/>
              </w:rPr>
              <w:t>Deliverable</w:t>
            </w:r>
          </w:p>
        </w:tc>
        <w:tc>
          <w:tcPr>
            <w:tcW w:type="dxa" w:w="2381"/>
            <w:shd w:val="clear" w:fill="0F2622"/>
          </w:tcPr>
          <w:p>
            <w:pPr>
              <w:spacing w:after="20" w:before="20"/>
            </w:pPr>
            <w:r/>
            <w:r>
              <w:rPr>
                <w:b/>
                <w:color w:val="FFFFFF"/>
                <w:sz w:val="14"/>
              </w:rPr>
              <w:t>How it is funded</w:t>
            </w:r>
          </w:p>
        </w:tc>
      </w:tr>
      <w:tr>
        <w:trPr>
          <w:cantSplit/>
        </w:trPr>
        <w:tc>
          <w:tcPr>
            <w:tcW w:type="dxa" w:w="1814"/>
          </w:tcPr>
          <w:p>
            <w:pPr>
              <w:spacing w:after="20" w:before="20"/>
            </w:pPr>
            <w:r/>
            <w:r>
              <w:rPr>
                <w:b w:val="0"/>
                <w:sz w:val="14"/>
              </w:rPr>
              <w:t>H — Reasoning and effort (T-70–T-76)</w:t>
            </w:r>
          </w:p>
        </w:tc>
        <w:tc>
          <w:tcPr>
            <w:tcW w:type="dxa" w:w="3628"/>
          </w:tcPr>
          <w:p>
            <w:pPr>
              <w:spacing w:after="20" w:before="20"/>
            </w:pPr>
            <w:r>
              <w:t>Reasoning-trace faithfulness measured by intervention rather than by reading the trace: hint-insertion, shortcut availability, and a monitored-versus-unmonitored comparison [29][30][31]</w:t>
            </w:r>
            <w:r>
              <w:rPr>
                <w:b w:val="0"/>
                <w:sz w:val="14"/>
              </w:rPr>
            </w:r>
          </w:p>
        </w:tc>
        <w:tc>
          <w:tcPr>
            <w:tcW w:type="dxa" w:w="737"/>
          </w:tcPr>
          <w:p>
            <w:pPr>
              <w:spacing w:after="20" w:before="20"/>
            </w:pPr>
            <w:r/>
            <w:r>
              <w:rPr>
                <w:b w:val="0"/>
                <w:sz w:val="14"/>
              </w:rPr>
              <w:t>2.8</w:t>
            </w:r>
          </w:p>
        </w:tc>
        <w:tc>
          <w:tcPr>
            <w:tcW w:type="dxa" w:w="1020"/>
          </w:tcPr>
          <w:p>
            <w:pPr>
              <w:spacing w:after="20" w:before="20"/>
            </w:pPr>
            <w:r/>
            <w:r>
              <w:rPr>
                <w:b w:val="0"/>
                <w:sz w:val="14"/>
              </w:rPr>
              <w:t>D7</w:t>
            </w:r>
          </w:p>
        </w:tc>
        <w:tc>
          <w:tcPr>
            <w:tcW w:type="dxa" w:w="2381"/>
          </w:tcPr>
          <w:p>
            <w:pPr>
              <w:spacing w:after="20" w:before="20"/>
            </w:pPr>
            <w:r/>
            <w:r>
              <w:rPr>
                <w:b w:val="0"/>
                <w:sz w:val="14"/>
              </w:rPr>
              <w:t>Inside the WP2 share of the inference line</w:t>
            </w:r>
          </w:p>
        </w:tc>
      </w:tr>
      <w:tr>
        <w:trPr>
          <w:cantSplit/>
        </w:trPr>
        <w:tc>
          <w:tcPr>
            <w:tcW w:type="dxa" w:w="1814"/>
            <w:shd w:val="clear" w:fill="EAF4EF"/>
          </w:tcPr>
          <w:p>
            <w:pPr>
              <w:spacing w:after="20" w:before="20"/>
            </w:pPr>
            <w:r/>
            <w:r>
              <w:rPr>
                <w:b w:val="0"/>
                <w:sz w:val="14"/>
              </w:rPr>
              <w:t>H — the monitorability tax</w:t>
            </w:r>
          </w:p>
        </w:tc>
        <w:tc>
          <w:tcPr>
            <w:tcW w:type="dxa" w:w="3628"/>
            <w:shd w:val="clear" w:fill="EAF4EF"/>
          </w:tcPr>
          <w:p>
            <w:pPr>
              <w:spacing w:after="20" w:before="20"/>
            </w:pPr>
            <w:r>
              <w:t>A deliberate decision not to optimise DSM-TRN-1 against a trace monitor, because training against the monitor keeps the behaviour and removes its mention [31][32]. The decision costs measured performance and the cost has to be planned, measured and published, not absorbed</w:t>
            </w:r>
            <w:r>
              <w:rPr>
                <w:b w:val="0"/>
                <w:sz w:val="14"/>
              </w:rPr>
            </w:r>
          </w:p>
        </w:tc>
        <w:tc>
          <w:tcPr>
            <w:tcW w:type="dxa" w:w="737"/>
            <w:shd w:val="clear" w:fill="EAF4EF"/>
          </w:tcPr>
          <w:p>
            <w:pPr>
              <w:spacing w:after="20" w:before="20"/>
            </w:pPr>
            <w:r/>
            <w:r>
              <w:rPr>
                <w:b w:val="0"/>
                <w:sz w:val="14"/>
              </w:rPr>
              <w:t>6.5</w:t>
            </w:r>
          </w:p>
        </w:tc>
        <w:tc>
          <w:tcPr>
            <w:tcW w:type="dxa" w:w="1020"/>
            <w:shd w:val="clear" w:fill="EAF4EF"/>
          </w:tcPr>
          <w:p>
            <w:pPr>
              <w:spacing w:after="20" w:before="20"/>
            </w:pPr>
            <w:r/>
            <w:r>
              <w:rPr>
                <w:b w:val="0"/>
                <w:sz w:val="14"/>
              </w:rPr>
              <w:t>D21</w:t>
            </w:r>
          </w:p>
        </w:tc>
        <w:tc>
          <w:tcPr>
            <w:tcW w:type="dxa" w:w="2381"/>
            <w:shd w:val="clear" w:fill="EAF4EF"/>
          </w:tcPr>
          <w:p>
            <w:pPr>
              <w:spacing w:after="20" w:before="20"/>
            </w:pPr>
            <w:r/>
            <w:r>
              <w:rPr>
                <w:b w:val="0"/>
                <w:sz w:val="14"/>
              </w:rPr>
              <w:t>Inside the WP6 compute share; the matched arm is the cost</w:t>
            </w:r>
          </w:p>
        </w:tc>
      </w:tr>
      <w:tr>
        <w:trPr>
          <w:cantSplit/>
        </w:trPr>
        <w:tc>
          <w:tcPr>
            <w:tcW w:type="dxa" w:w="1814"/>
          </w:tcPr>
          <w:p>
            <w:pPr>
              <w:spacing w:after="20" w:before="20"/>
            </w:pPr>
            <w:r/>
            <w:r>
              <w:rPr>
                <w:b w:val="0"/>
                <w:sz w:val="14"/>
              </w:rPr>
              <w:t>I — Agentic and tool-use (T-77–T-81)</w:t>
            </w:r>
          </w:p>
        </w:tc>
        <w:tc>
          <w:tcPr>
            <w:tcW w:type="dxa" w:w="3628"/>
          </w:tcPr>
          <w:p>
            <w:pPr>
              <w:spacing w:after="20" w:before="20"/>
            </w:pPr>
            <w:r/>
            <w:r>
              <w:rPr>
                <w:b w:val="0"/>
                <w:sz w:val="14"/>
              </w:rPr>
              <w:t>Containment extended to a system that acts: a sandboxed tool surface with real in-sandbox side effects, instrumentation the subject cannot reach, and destruction of sandbox state as well as of weights</w:t>
            </w:r>
          </w:p>
        </w:tc>
        <w:tc>
          <w:tcPr>
            <w:tcW w:type="dxa" w:w="737"/>
          </w:tcPr>
          <w:p>
            <w:pPr>
              <w:spacing w:after="20" w:before="20"/>
            </w:pPr>
            <w:r/>
            <w:r>
              <w:rPr>
                <w:b w:val="0"/>
                <w:sz w:val="14"/>
              </w:rPr>
              <w:t>4.7</w:t>
            </w:r>
          </w:p>
        </w:tc>
        <w:tc>
          <w:tcPr>
            <w:tcW w:type="dxa" w:w="1020"/>
          </w:tcPr>
          <w:p>
            <w:pPr>
              <w:spacing w:after="20" w:before="20"/>
            </w:pPr>
            <w:r/>
            <w:r>
              <w:rPr>
                <w:b w:val="0"/>
                <w:sz w:val="14"/>
              </w:rPr>
              <w:t>D13</w:t>
            </w:r>
          </w:p>
        </w:tc>
        <w:tc>
          <w:tcPr>
            <w:tcW w:type="dxa" w:w="2381"/>
          </w:tcPr>
          <w:p>
            <w:pPr>
              <w:spacing w:after="20" w:before="20"/>
            </w:pPr>
            <w:r/>
            <w:r>
              <w:rPr>
                <w:b w:val="0"/>
                <w:sz w:val="14"/>
              </w:rPr>
              <w:t>PLACEHOLDER inside the containment line — the one genuine cost addition in v1.1 (OI-6)</w:t>
            </w:r>
          </w:p>
        </w:tc>
      </w:tr>
      <w:tr>
        <w:trPr>
          <w:cantSplit/>
        </w:trPr>
        <w:tc>
          <w:tcPr>
            <w:tcW w:type="dxa" w:w="1814"/>
            <w:shd w:val="clear" w:fill="EAF4EF"/>
          </w:tcPr>
          <w:p>
            <w:pPr>
              <w:spacing w:after="20" w:before="20"/>
            </w:pPr>
            <w:r/>
            <w:r>
              <w:rPr>
                <w:b w:val="0"/>
                <w:sz w:val="14"/>
              </w:rPr>
              <w:t>I — measured where it fails</w:t>
            </w:r>
          </w:p>
        </w:tc>
        <w:tc>
          <w:tcPr>
            <w:tcW w:type="dxa" w:w="3628"/>
            <w:shd w:val="clear" w:fill="EAF4EF"/>
          </w:tcPr>
          <w:p>
            <w:pPr>
              <w:spacing w:after="20" w:before="20"/>
            </w:pPr>
            <w:r>
              <w:t>The incident record is a deployment record, not a laboratory one [43][44][45], and indirect prompt injection is an environment property as much as a model property [46][47]</w:t>
            </w:r>
            <w:r>
              <w:rPr>
                <w:b w:val="0"/>
                <w:sz w:val="14"/>
              </w:rPr>
            </w:r>
          </w:p>
        </w:tc>
        <w:tc>
          <w:tcPr>
            <w:tcW w:type="dxa" w:w="737"/>
            <w:shd w:val="clear" w:fill="EAF4EF"/>
          </w:tcPr>
          <w:p>
            <w:pPr>
              <w:spacing w:after="20" w:before="20"/>
            </w:pPr>
            <w:r/>
            <w:r>
              <w:rPr>
                <w:b w:val="0"/>
                <w:sz w:val="14"/>
              </w:rPr>
              <w:t>8.5</w:t>
            </w:r>
          </w:p>
        </w:tc>
        <w:tc>
          <w:tcPr>
            <w:tcW w:type="dxa" w:w="1020"/>
            <w:shd w:val="clear" w:fill="EAF4EF"/>
          </w:tcPr>
          <w:p>
            <w:pPr>
              <w:spacing w:after="20" w:before="20"/>
            </w:pPr>
            <w:r/>
            <w:r>
              <w:rPr>
                <w:b w:val="0"/>
                <w:sz w:val="14"/>
              </w:rPr>
              <w:t>D29, D30</w:t>
            </w:r>
          </w:p>
        </w:tc>
        <w:tc>
          <w:tcPr>
            <w:tcW w:type="dxa" w:w="2381"/>
            <w:shd w:val="clear" w:fill="EAF4EF"/>
          </w:tcPr>
          <w:p>
            <w:pPr>
              <w:spacing w:after="20" w:before="20"/>
            </w:pPr>
            <w:r/>
            <w:r>
              <w:rPr>
                <w:b w:val="0"/>
                <w:sz w:val="14"/>
              </w:rPr>
              <w:t>Inside the WP8 partner-support line</w:t>
            </w:r>
          </w:p>
        </w:tc>
      </w:tr>
      <w:tr>
        <w:trPr>
          <w:cantSplit/>
        </w:trPr>
        <w:tc>
          <w:tcPr>
            <w:tcW w:type="dxa" w:w="1814"/>
          </w:tcPr>
          <w:p>
            <w:pPr>
              <w:spacing w:after="20" w:before="20"/>
            </w:pPr>
            <w:r/>
            <w:r>
              <w:rPr>
                <w:b w:val="0"/>
                <w:sz w:val="14"/>
              </w:rPr>
              <w:t>J — Relational and influence (T-82–T-86)</w:t>
            </w:r>
          </w:p>
        </w:tc>
        <w:tc>
          <w:tcPr>
            <w:tcW w:type="dxa" w:w="3628"/>
          </w:tcPr>
          <w:p>
            <w:pPr>
              <w:spacing w:after="20" w:before="20"/>
            </w:pPr>
            <w:r/>
            <w:r>
              <w:rPr>
                <w:b w:val="0"/>
                <w:sz w:val="14"/>
              </w:rPr>
              <w:t>Probe development that reaches no real user: scripted multi-turn escalations, published human-advice baselines, per-turn scoring for confirmation, elaboration and reality-testing, and a support protocol for the scorers</w:t>
            </w:r>
          </w:p>
        </w:tc>
        <w:tc>
          <w:tcPr>
            <w:tcW w:type="dxa" w:w="737"/>
          </w:tcPr>
          <w:p>
            <w:pPr>
              <w:spacing w:after="20" w:before="20"/>
            </w:pPr>
            <w:r/>
            <w:r>
              <w:rPr>
                <w:b w:val="0"/>
                <w:sz w:val="14"/>
              </w:rPr>
              <w:t>3.6</w:t>
            </w:r>
          </w:p>
        </w:tc>
        <w:tc>
          <w:tcPr>
            <w:tcW w:type="dxa" w:w="1020"/>
          </w:tcPr>
          <w:p>
            <w:pPr>
              <w:spacing w:after="20" w:before="20"/>
            </w:pPr>
            <w:r/>
            <w:r>
              <w:rPr>
                <w:b w:val="0"/>
                <w:sz w:val="14"/>
              </w:rPr>
              <w:t>D9, D11</w:t>
            </w:r>
          </w:p>
        </w:tc>
        <w:tc>
          <w:tcPr>
            <w:tcW w:type="dxa" w:w="2381"/>
          </w:tcPr>
          <w:p>
            <w:pPr>
              <w:spacing w:after="20" w:before="20"/>
            </w:pPr>
            <w:r/>
            <w:r>
              <w:rPr>
                <w:b w:val="0"/>
                <w:sz w:val="14"/>
              </w:rPr>
              <w:t>Inside the WP3 priority set; the clinical adviser is a PLACEHOLDER</w:t>
            </w:r>
          </w:p>
        </w:tc>
      </w:tr>
    </w:tbl>
    <w:p>
      <w:pPr>
        <w:spacing w:after="100"/>
      </w:pPr>
      <w:r>
        <w:rPr>
          <w:b w:val="0"/>
          <w:i w:val="0"/>
          <w:sz w:val="19"/>
        </w:rPr>
        <w:t>One question this table does not answer and a reviewer will ask: the BSS-1 clause set is still six clauses (D23, task 7.1), written when the catalogue held forty entries, and three new groups have arrived since. The plan's position is that the six clauses are construct-level rather than entry-level — provenance, pre-release screen, harmful-compliance floor, continual-training discipline, guardrail integrity, deployment fit — so agentic and relational failures enter through the screen in clause 1.2 and the fit documentation in clause 1.6 rather than through new clauses. That is an argument rather than a fact, it is made in full in the Study Proposal (8.1), and this plan defers to it: if clause validation in task 7.3 cannot demonstrate pass or fail for a group I or group J trait under the existing six, the clause set is extended at the same re-opening that taxonomy v2 triggers (4.2).</w:t>
      </w:r>
    </w:p>
    <w:p>
      <w:pPr>
        <w:spacing w:after="100"/>
      </w:pPr>
      <w:r>
        <w:rPr>
          <w:b w:val="0"/>
          <w:i w:val="0"/>
          <w:sz w:val="19"/>
        </w:rPr>
        <w:t>Two of the three groups change who the programme has to talk to, not only what it measures. The agentic entries are measured where they fail, which is in deployments over long horizons: coherence decays with the length of a run rather than with the difficulty of the task [7][8][9], so WP8's partners sit on the critical path for part of WP3's evidence. The relational entries put a named clinical adviser and a safeguarding protocol there instead. Neither partner exists today, and both are prerequisites rather than nice-to-haves: tasks 3.6 and 8.5 cannot produce publishable evidence without them.</w:t>
      </w:r>
    </w:p>
    <w:p>
      <w:pPr>
        <w:spacing w:after="100"/>
      </w:pPr>
      <w:r>
        <w:rPr>
          <w:b w:val="0"/>
          <w:i/>
          <w:sz w:val="16"/>
        </w:rPr>
        <w:t>Four of the five sit inside existing lines, and the honest statement of why is narrower than it first looks. Holding differential work to 46 entries rather than 90 is what keeps the modules affordable against the ninety-entry catalogue; but measured against the v1.0 baseline, which carried forty entries, the funded scope rose to 46 and no capacity was released at all. The four modules are absorbed by the same euros doing fifteen per cent more work, which is a claim about headroom in the original lines rather than about savings, and 6.9 states the limit of that claim. The fifth — the agentic containment tier — is not absorbed, and it is carried as a placeholder rather than as a number. If the quote for it lands above the containment line's existing headroom, this plan will say so and move the total, not absorb it quietly.</w:t>
      </w:r>
    </w:p>
    <w:p>
      <w:pPr>
        <w:pStyle w:val="Heading1"/>
      </w:pPr>
      <w:r>
        <w:t>4. Schedule</w:t>
      </w:r>
    </w:p>
    <w:p>
      <w:pPr>
        <w:spacing w:before="0" w:after="140" w:line="40" w:lineRule="exact"/>
        <w:pBdr>
          <w:bottom w:val="single" w:sz="16" w:space="0" w:color="E8A13D"/>
        </w:pBdr>
      </w:pPr>
      <w:r>
        <w:rPr>
          <w:sz w:val="2"/>
        </w:rPr>
      </w:r>
    </w:p>
    <w:p>
      <w:pPr>
        <w:pStyle w:val="Heading2"/>
      </w:pPr>
      <w:r>
        <w:t>4.1 Scenario timelines</w:t>
      </w:r>
    </w:p>
    <w:p>
      <w:pPr>
        <w:spacing w:after="40"/>
        <w:jc w:val="center"/>
      </w:pPr>
      <w:r>
        <w:drawing>
          <wp:inline xmlns:a="http://schemas.openxmlformats.org/drawingml/2006/main" xmlns:pic="http://schemas.openxmlformats.org/drawingml/2006/picture">
            <wp:extent cx="5903999" cy="2415272"/>
            <wp:docPr id="2" name="Picture 2"/>
            <wp:cNvGraphicFramePr>
              <a:graphicFrameLocks noChangeAspect="1"/>
            </wp:cNvGraphicFramePr>
            <a:graphic>
              <a:graphicData uri="http://schemas.openxmlformats.org/drawingml/2006/picture">
                <pic:pic>
                  <pic:nvPicPr>
                    <pic:cNvPr id="0" name="fig14_gantt_variants.png"/>
                    <pic:cNvPicPr/>
                  </pic:nvPicPr>
                  <pic:blipFill>
                    <a:blip r:embed="rId14"/>
                    <a:stretch>
                      <a:fillRect/>
                    </a:stretch>
                  </pic:blipFill>
                  <pic:spPr>
                    <a:xfrm>
                      <a:off x="0" y="0"/>
                      <a:ext cx="5903999" cy="2415272"/>
                    </a:xfrm>
                    <a:prstGeom prst="rect"/>
                  </pic:spPr>
                </pic:pic>
              </a:graphicData>
            </a:graphic>
          </wp:inline>
        </w:drawing>
      </w:r>
    </w:p>
    <w:p>
      <w:pPr>
        <w:spacing w:after="140"/>
        <w:jc w:val="center"/>
      </w:pPr>
      <w:r>
        <w:rPr>
          <w:i/>
          <w:color w:val="4E6A63"/>
          <w:sz w:val="16"/>
        </w:rPr>
        <w:t>Figure 1 — Scenario timelines. All three are drawn from a kick-off of October 2026, which is the plan's baseline and no longer an available date; read the bars as durations and sequences, and 4.3 for the earliest start.</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4309"/>
            <w:shd w:val="clear" w:fill="0F2622"/>
          </w:tcPr>
          <w:p>
            <w:pPr>
              <w:spacing w:after="20" w:before="20"/>
            </w:pPr>
            <w:r/>
            <w:r>
              <w:rPr>
                <w:b/>
                <w:color w:val="FFFFFF"/>
                <w:sz w:val="15"/>
              </w:rPr>
              <w:t>Milestone</w:t>
            </w:r>
          </w:p>
        </w:tc>
        <w:tc>
          <w:tcPr>
            <w:tcW w:type="dxa" w:w="1474"/>
            <w:shd w:val="clear" w:fill="0F2622"/>
          </w:tcPr>
          <w:p>
            <w:pPr>
              <w:spacing w:after="20" w:before="20"/>
            </w:pPr>
            <w:r/>
            <w:r>
              <w:rPr>
                <w:b/>
                <w:color w:val="FFFFFF"/>
                <w:sz w:val="15"/>
              </w:rPr>
              <w:t>Target</w:t>
            </w:r>
          </w:p>
        </w:tc>
        <w:tc>
          <w:tcPr>
            <w:tcW w:type="dxa" w:w="3288"/>
            <w:shd w:val="clear" w:fill="0F2622"/>
          </w:tcPr>
          <w:p>
            <w:pPr>
              <w:spacing w:after="20" w:before="20"/>
            </w:pPr>
            <w:r/>
            <w:r>
              <w:rPr>
                <w:b/>
                <w:color w:val="FFFFFF"/>
                <w:sz w:val="15"/>
              </w:rPr>
              <w:t>Gate / evidence</w:t>
            </w:r>
          </w:p>
        </w:tc>
      </w:tr>
      <w:tr>
        <w:trPr>
          <w:cantSplit/>
        </w:trPr>
        <w:tc>
          <w:tcPr>
            <w:tcW w:type="dxa" w:w="4309"/>
          </w:tcPr>
          <w:p>
            <w:pPr>
              <w:spacing w:after="20" w:before="20"/>
            </w:pPr>
            <w:r/>
            <w:r>
              <w:rPr>
                <w:b w:val="0"/>
                <w:sz w:val="15"/>
              </w:rPr>
              <w:t>Kick-off &amp; charter</w:t>
            </w:r>
          </w:p>
        </w:tc>
        <w:tc>
          <w:tcPr>
            <w:tcW w:type="dxa" w:w="1474"/>
          </w:tcPr>
          <w:p>
            <w:pPr>
              <w:spacing w:after="20" w:before="20"/>
            </w:pPr>
            <w:r/>
            <w:r>
              <w:rPr>
                <w:b w:val="0"/>
                <w:sz w:val="15"/>
              </w:rPr>
              <w:t>Oct 2026</w:t>
            </w:r>
          </w:p>
        </w:tc>
        <w:tc>
          <w:tcPr>
            <w:tcW w:type="dxa" w:w="3288"/>
          </w:tcPr>
          <w:p>
            <w:pPr>
              <w:spacing w:after="20" w:before="20"/>
            </w:pPr>
            <w:r/>
            <w:r>
              <w:rPr>
                <w:b w:val="0"/>
                <w:sz w:val="15"/>
              </w:rPr>
              <w:t>G0 — pre-registration lodged; instruments frozen; analysis code hashed</w:t>
            </w:r>
          </w:p>
        </w:tc>
      </w:tr>
      <w:tr>
        <w:trPr>
          <w:cantSplit/>
        </w:trPr>
        <w:tc>
          <w:tcPr>
            <w:tcW w:type="dxa" w:w="4309"/>
            <w:shd w:val="clear" w:fill="EAF4EF"/>
          </w:tcPr>
          <w:p>
            <w:pPr>
              <w:spacing w:after="20" w:before="20"/>
            </w:pPr>
            <w:r/>
            <w:r>
              <w:rPr>
                <w:b w:val="0"/>
                <w:sz w:val="15"/>
              </w:rPr>
              <w:t>SCT-2.0 item bank frozen (360 items across ten axis constructs)</w:t>
            </w:r>
          </w:p>
        </w:tc>
        <w:tc>
          <w:tcPr>
            <w:tcW w:type="dxa" w:w="1474"/>
            <w:shd w:val="clear" w:fill="EAF4EF"/>
          </w:tcPr>
          <w:p>
            <w:pPr>
              <w:spacing w:after="20" w:before="20"/>
            </w:pPr>
            <w:r/>
            <w:r>
              <w:rPr>
                <w:b w:val="0"/>
                <w:sz w:val="15"/>
              </w:rPr>
              <w:t>Jun 2027</w:t>
            </w:r>
          </w:p>
        </w:tc>
        <w:tc>
          <w:tcPr>
            <w:tcW w:type="dxa" w:w="3288"/>
            <w:shd w:val="clear" w:fill="EAF4EF"/>
          </w:tcPr>
          <w:p>
            <w:pPr>
              <w:spacing w:after="20" w:before="20"/>
            </w:pPr>
            <w:r/>
            <w:r>
              <w:rPr>
                <w:b w:val="0"/>
                <w:sz w:val="15"/>
              </w:rPr>
              <w:t>G1 — SCT-2.0 pilot and inter-rater agreement at or above target; instrument defects closed</w:t>
            </w:r>
          </w:p>
        </w:tc>
      </w:tr>
      <w:tr>
        <w:trPr>
          <w:cantSplit/>
        </w:trPr>
        <w:tc>
          <w:tcPr>
            <w:tcW w:type="dxa" w:w="4309"/>
          </w:tcPr>
          <w:p>
            <w:pPr>
              <w:spacing w:after="20" w:before="20"/>
            </w:pPr>
            <w:r/>
            <w:r>
              <w:rPr>
                <w:b w:val="0"/>
                <w:sz w:val="15"/>
              </w:rPr>
              <w:t>Containment standard CNT-1 approved</w:t>
            </w:r>
          </w:p>
        </w:tc>
        <w:tc>
          <w:tcPr>
            <w:tcW w:type="dxa" w:w="1474"/>
          </w:tcPr>
          <w:p>
            <w:pPr>
              <w:spacing w:after="20" w:before="20"/>
            </w:pPr>
            <w:r/>
            <w:r>
              <w:rPr>
                <w:b w:val="0"/>
                <w:sz w:val="15"/>
              </w:rPr>
              <w:t>Jun 2027</w:t>
            </w:r>
          </w:p>
        </w:tc>
        <w:tc>
          <w:tcPr>
            <w:tcW w:type="dxa" w:w="3288"/>
          </w:tcPr>
          <w:p>
            <w:pPr>
              <w:spacing w:after="20" w:before="20"/>
            </w:pPr>
            <w:r/>
            <w:r>
              <w:rPr>
                <w:b w:val="0"/>
                <w:sz w:val="15"/>
              </w:rPr>
              <w:t>G2 — containment standard met and independently reviewed; harm register signed (the CNT-1A agentic tier is carried as a placeholder line)</w:t>
            </w:r>
          </w:p>
        </w:tc>
      </w:tr>
      <w:tr>
        <w:trPr>
          <w:cantSplit/>
        </w:trPr>
        <w:tc>
          <w:tcPr>
            <w:tcW w:type="dxa" w:w="4309"/>
            <w:shd w:val="clear" w:fill="EAF4EF"/>
          </w:tcPr>
          <w:p>
            <w:pPr>
              <w:spacing w:after="20" w:before="20"/>
            </w:pPr>
            <w:r/>
            <w:r>
              <w:rPr>
                <w:b w:val="0"/>
                <w:sz w:val="15"/>
              </w:rPr>
              <w:t>First model organisms online</w:t>
            </w:r>
          </w:p>
        </w:tc>
        <w:tc>
          <w:tcPr>
            <w:tcW w:type="dxa" w:w="1474"/>
            <w:shd w:val="clear" w:fill="EAF4EF"/>
          </w:tcPr>
          <w:p>
            <w:pPr>
              <w:spacing w:after="20" w:before="20"/>
            </w:pPr>
            <w:r/>
            <w:r>
              <w:rPr>
                <w:b w:val="0"/>
                <w:sz w:val="15"/>
              </w:rPr>
              <w:t>Mar 2028</w:t>
            </w:r>
          </w:p>
        </w:tc>
        <w:tc>
          <w:tcPr>
            <w:tcW w:type="dxa" w:w="3288"/>
            <w:shd w:val="clear" w:fill="EAF4EF"/>
          </w:tcPr>
          <w:p>
            <w:pPr>
              <w:spacing w:after="20" w:before="20"/>
            </w:pPr>
            <w:r/>
            <w:r>
              <w:rPr>
                <w:b w:val="0"/>
                <w:sz w:val="15"/>
              </w:rPr>
              <w:t>G2 passed; every organism registered with named custodians, a harm-register entry and a destruction date before training begins</w:t>
            </w:r>
          </w:p>
        </w:tc>
      </w:tr>
      <w:tr>
        <w:trPr>
          <w:cantSplit/>
        </w:trPr>
        <w:tc>
          <w:tcPr>
            <w:tcW w:type="dxa" w:w="4309"/>
          </w:tcPr>
          <w:p>
            <w:pPr>
              <w:spacing w:after="20" w:before="20"/>
            </w:pPr>
            <w:r/>
            <w:r>
              <w:rPr>
                <w:b w:val="0"/>
                <w:sz w:val="15"/>
              </w:rPr>
              <w:t>SCT-2.0 validation results published</w:t>
            </w:r>
          </w:p>
        </w:tc>
        <w:tc>
          <w:tcPr>
            <w:tcW w:type="dxa" w:w="1474"/>
          </w:tcPr>
          <w:p>
            <w:pPr>
              <w:spacing w:after="20" w:before="20"/>
            </w:pPr>
            <w:r/>
            <w:r>
              <w:rPr>
                <w:b w:val="0"/>
                <w:sz w:val="15"/>
              </w:rPr>
              <w:t>Jun 2029</w:t>
            </w:r>
          </w:p>
        </w:tc>
        <w:tc>
          <w:tcPr>
            <w:tcW w:type="dxa" w:w="3288"/>
          </w:tcPr>
          <w:p>
            <w:pPr>
              <w:spacing w:after="20" w:before="20"/>
            </w:pPr>
            <w:r/>
            <w:r>
              <w:rPr>
                <w:b w:val="0"/>
                <w:sz w:val="15"/>
              </w:rPr>
              <w:t>H1 and H2 thresholds met and published with the item bank: factor fit, language and harness invariance, and test–retest reliability</w:t>
            </w:r>
          </w:p>
        </w:tc>
      </w:tr>
      <w:tr>
        <w:trPr>
          <w:cantSplit/>
        </w:trPr>
        <w:tc>
          <w:tcPr>
            <w:tcW w:type="dxa" w:w="4309"/>
            <w:shd w:val="clear" w:fill="EAF4EF"/>
          </w:tcPr>
          <w:p>
            <w:pPr>
              <w:spacing w:after="20" w:before="20"/>
            </w:pPr>
            <w:r/>
            <w:r>
              <w:rPr>
                <w:b w:val="0"/>
                <w:sz w:val="15"/>
              </w:rPr>
              <w:t>Taxonomy v2 published (90 entries adjudicated; 46 battery-tested)</w:t>
            </w:r>
          </w:p>
        </w:tc>
        <w:tc>
          <w:tcPr>
            <w:tcW w:type="dxa" w:w="1474"/>
            <w:shd w:val="clear" w:fill="EAF4EF"/>
          </w:tcPr>
          <w:p>
            <w:pPr>
              <w:spacing w:after="20" w:before="20"/>
            </w:pPr>
            <w:r/>
            <w:r>
              <w:rPr>
                <w:b w:val="0"/>
                <w:sz w:val="15"/>
              </w:rPr>
              <w:t>Dec 2029</w:t>
            </w:r>
          </w:p>
        </w:tc>
        <w:tc>
          <w:tcPr>
            <w:tcW w:type="dxa" w:w="3288"/>
            <w:shd w:val="clear" w:fill="EAF4EF"/>
          </w:tcPr>
          <w:p>
            <w:pPr>
              <w:spacing w:after="20" w:before="20"/>
            </w:pPr>
            <w:r/>
            <w:r>
              <w:rPr>
                <w:b w:val="0"/>
                <w:sz w:val="15"/>
              </w:rPr>
              <w:t>G3 — taxonomy adjudicated at the pre-registered H3 thresholds, with merges, retirements and untested entries published</w:t>
            </w:r>
          </w:p>
        </w:tc>
      </w:tr>
      <w:tr>
        <w:trPr>
          <w:cantSplit/>
        </w:trPr>
        <w:tc>
          <w:tcPr>
            <w:tcW w:type="dxa" w:w="4309"/>
          </w:tcPr>
          <w:p>
            <w:pPr>
              <w:spacing w:after="20" w:before="20"/>
            </w:pPr>
            <w:r/>
            <w:r>
              <w:rPr>
                <w:b w:val="0"/>
                <w:sz w:val="15"/>
              </w:rPr>
              <w:t>BSS-1 standard submitted to a standards body</w:t>
            </w:r>
          </w:p>
        </w:tc>
        <w:tc>
          <w:tcPr>
            <w:tcW w:type="dxa" w:w="1474"/>
          </w:tcPr>
          <w:p>
            <w:pPr>
              <w:spacing w:after="20" w:before="20"/>
            </w:pPr>
            <w:r/>
            <w:r>
              <w:rPr>
                <w:b w:val="0"/>
                <w:sz w:val="15"/>
              </w:rPr>
              <w:t>Jun 2030</w:t>
            </w:r>
          </w:p>
        </w:tc>
        <w:tc>
          <w:tcPr>
            <w:tcW w:type="dxa" w:w="3288"/>
          </w:tcPr>
          <w:p>
            <w:pPr>
              <w:spacing w:after="20" w:before="20"/>
            </w:pPr>
            <w:r/>
            <w:r>
              <w:rPr>
                <w:b w:val="0"/>
                <w:sz w:val="15"/>
              </w:rPr>
              <w:t>G4 — standard clauses demonstrably testable across ≥ 3 model families</w:t>
            </w:r>
          </w:p>
        </w:tc>
      </w:tr>
      <w:tr>
        <w:trPr>
          <w:cantSplit/>
        </w:trPr>
        <w:tc>
          <w:tcPr>
            <w:tcW w:type="dxa" w:w="4309"/>
            <w:shd w:val="clear" w:fill="EAF4EF"/>
          </w:tcPr>
          <w:p>
            <w:pPr>
              <w:spacing w:after="20" w:before="20"/>
            </w:pPr>
            <w:r/>
            <w:r>
              <w:rPr>
                <w:b w:val="0"/>
                <w:sz w:val="15"/>
              </w:rPr>
              <w:t>Certification pilot with two authorities</w:t>
            </w:r>
          </w:p>
        </w:tc>
        <w:tc>
          <w:tcPr>
            <w:tcW w:type="dxa" w:w="1474"/>
            <w:shd w:val="clear" w:fill="EAF4EF"/>
          </w:tcPr>
          <w:p>
            <w:pPr>
              <w:spacing w:after="20" w:before="20"/>
            </w:pPr>
            <w:r/>
            <w:r>
              <w:rPr>
                <w:b w:val="0"/>
                <w:sz w:val="15"/>
              </w:rPr>
              <w:t>Jun 2031</w:t>
            </w:r>
          </w:p>
        </w:tc>
        <w:tc>
          <w:tcPr>
            <w:tcW w:type="dxa" w:w="3288"/>
            <w:shd w:val="clear" w:fill="EAF4EF"/>
          </w:tcPr>
          <w:p>
            <w:pPr>
              <w:spacing w:after="20" w:before="20"/>
            </w:pPr>
            <w:r/>
            <w:r>
              <w:rPr>
                <w:b w:val="0"/>
                <w:sz w:val="15"/>
              </w:rPr>
              <w:t>Two authorities engaged, or non-engagement reported as a WP7 finding</w:t>
            </w:r>
          </w:p>
        </w:tc>
      </w:tr>
    </w:tbl>
    <w:p>
      <w:pPr>
        <w:spacing w:after="100"/>
      </w:pPr>
      <w:r>
        <w:rPr>
          <w:b w:val="0"/>
          <w:i/>
          <w:sz w:val="16"/>
        </w:rPr>
        <w:t>Table — eight milestones on the shared calendar. The Gate/evidence column is generated by the shared support module, which pairs the milestone list against the gate list by position: read it as the gate that governs the phase a milestone falls in, not as the gate that governs that milestone. The two the gates actually govern are taxonomy v2 at G3 and the BSS-1 submission at G4. An explicit milestone-to-gate map is a recommended change to the shared model (OI-17), which this plan does not own.</w:t>
      </w:r>
    </w:p>
    <w:p>
      <w:pPr>
        <w:spacing w:after="40"/>
        <w:jc w:val="center"/>
      </w:pPr>
      <w:r>
        <w:drawing>
          <wp:inline xmlns:a="http://schemas.openxmlformats.org/drawingml/2006/main" xmlns:pic="http://schemas.openxmlformats.org/drawingml/2006/picture">
            <wp:extent cx="5903999" cy="2415272"/>
            <wp:docPr id="3" name="Picture 3"/>
            <wp:cNvGraphicFramePr>
              <a:graphicFrameLocks noChangeAspect="1"/>
            </wp:cNvGraphicFramePr>
            <a:graphic>
              <a:graphicData uri="http://schemas.openxmlformats.org/drawingml/2006/picture">
                <pic:pic>
                  <pic:nvPicPr>
                    <pic:cNvPr id="0" name="fig15_timeline.png"/>
                    <pic:cNvPicPr/>
                  </pic:nvPicPr>
                  <pic:blipFill>
                    <a:blip r:embed="rId15"/>
                    <a:stretch>
                      <a:fillRect/>
                    </a:stretch>
                  </pic:blipFill>
                  <pic:spPr>
                    <a:xfrm>
                      <a:off x="0" y="0"/>
                      <a:ext cx="5903999" cy="2415272"/>
                    </a:xfrm>
                    <a:prstGeom prst="rect"/>
                  </pic:spPr>
                </pic:pic>
              </a:graphicData>
            </a:graphic>
          </wp:inline>
        </w:drawing>
      </w:r>
    </w:p>
    <w:p>
      <w:pPr>
        <w:spacing w:after="140"/>
        <w:jc w:val="center"/>
      </w:pPr>
      <w:r>
        <w:rPr>
          <w:i/>
          <w:color w:val="4E6A63"/>
          <w:sz w:val="16"/>
        </w:rPr>
        <w:t>Figure 2 — Milestones on the shared calendar; gates G0–G4 are decision points, not dates. Two milestones name their own scope so that neither is read as covering more than it does.</w:t>
      </w:r>
    </w:p>
    <w:p>
      <w:pPr>
        <w:pStyle w:val="Heading2"/>
      </w:pPr>
      <w:r>
        <w:t>4.2 Critical path and what blocks what</w:t>
      </w:r>
    </w:p>
    <w:p>
      <w:pPr>
        <w:spacing w:after="40"/>
        <w:jc w:val="center"/>
      </w:pPr>
      <w:r>
        <w:drawing>
          <wp:inline xmlns:a="http://schemas.openxmlformats.org/drawingml/2006/main" xmlns:pic="http://schemas.openxmlformats.org/drawingml/2006/picture">
            <wp:extent cx="5903999" cy="1699636"/>
            <wp:docPr id="4" name="Picture 4"/>
            <wp:cNvGraphicFramePr>
              <a:graphicFrameLocks noChangeAspect="1"/>
            </wp:cNvGraphicFramePr>
            <a:graphic>
              <a:graphicData uri="http://schemas.openxmlformats.org/drawingml/2006/picture">
                <pic:pic>
                  <pic:nvPicPr>
                    <pic:cNvPr id="0" name="fig19_gates.png"/>
                    <pic:cNvPicPr/>
                  </pic:nvPicPr>
                  <pic:blipFill>
                    <a:blip r:embed="rId16"/>
                    <a:stretch>
                      <a:fillRect/>
                    </a:stretch>
                  </pic:blipFill>
                  <pic:spPr>
                    <a:xfrm>
                      <a:off x="0" y="0"/>
                      <a:ext cx="5903999" cy="1699636"/>
                    </a:xfrm>
                    <a:prstGeom prst="rect"/>
                  </pic:spPr>
                </pic:pic>
              </a:graphicData>
            </a:graphic>
          </wp:inline>
        </w:drawing>
      </w:r>
    </w:p>
    <w:p>
      <w:pPr>
        <w:spacing w:after="140"/>
        <w:jc w:val="center"/>
      </w:pPr>
      <w:r>
        <w:rPr>
          <w:i/>
          <w:color w:val="4E6A63"/>
          <w:sz w:val="16"/>
        </w:rPr>
        <w:t>Figure 3 — The five stage gates and what each one blocks until its evidence exists. A gate is a permission, not a milestone: failing one stops the work behind it and triggers a board review, not an automatic termination.</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1361"/>
            <w:shd w:val="clear" w:fill="0F2622"/>
          </w:tcPr>
          <w:p>
            <w:pPr>
              <w:spacing w:after="20" w:before="20"/>
            </w:pPr>
            <w:r/>
            <w:r>
              <w:rPr>
                <w:b/>
                <w:color w:val="FFFFFF"/>
                <w:sz w:val="14"/>
              </w:rPr>
              <w:t>Link</w:t>
            </w:r>
          </w:p>
        </w:tc>
        <w:tc>
          <w:tcPr>
            <w:tcW w:type="dxa" w:w="2268"/>
            <w:shd w:val="clear" w:fill="0F2622"/>
          </w:tcPr>
          <w:p>
            <w:pPr>
              <w:spacing w:after="20" w:before="20"/>
            </w:pPr>
            <w:r/>
            <w:r>
              <w:rPr>
                <w:b/>
                <w:color w:val="FFFFFF"/>
                <w:sz w:val="14"/>
              </w:rPr>
              <w:t>What must complete</w:t>
            </w:r>
          </w:p>
        </w:tc>
        <w:tc>
          <w:tcPr>
            <w:tcW w:type="dxa" w:w="2211"/>
            <w:shd w:val="clear" w:fill="0F2622"/>
          </w:tcPr>
          <w:p>
            <w:pPr>
              <w:spacing w:after="20" w:before="20"/>
            </w:pPr>
            <w:r/>
            <w:r>
              <w:rPr>
                <w:b/>
                <w:color w:val="FFFFFF"/>
                <w:sz w:val="14"/>
              </w:rPr>
              <w:t>Before this can start</w:t>
            </w:r>
          </w:p>
        </w:tc>
        <w:tc>
          <w:tcPr>
            <w:tcW w:type="dxa" w:w="2494"/>
            <w:shd w:val="clear" w:fill="0F2622"/>
          </w:tcPr>
          <w:p>
            <w:pPr>
              <w:spacing w:after="20" w:before="20"/>
            </w:pPr>
            <w:r/>
            <w:r>
              <w:rPr>
                <w:b/>
                <w:color w:val="FFFFFF"/>
                <w:sz w:val="14"/>
              </w:rPr>
              <w:t>Why</w:t>
            </w:r>
          </w:p>
        </w:tc>
        <w:tc>
          <w:tcPr>
            <w:tcW w:type="dxa" w:w="1417"/>
            <w:shd w:val="clear" w:fill="0F2622"/>
          </w:tcPr>
          <w:p>
            <w:pPr>
              <w:spacing w:after="20" w:before="20"/>
            </w:pPr>
            <w:r/>
            <w:r>
              <w:rPr>
                <w:b/>
                <w:color w:val="FFFFFF"/>
                <w:sz w:val="14"/>
              </w:rPr>
              <w:t>Float</w:t>
            </w:r>
          </w:p>
        </w:tc>
      </w:tr>
      <w:tr>
        <w:trPr>
          <w:cantSplit/>
        </w:trPr>
        <w:tc>
          <w:tcPr>
            <w:tcW w:type="dxa" w:w="1361"/>
          </w:tcPr>
          <w:p>
            <w:pPr>
              <w:spacing w:after="20" w:before="20"/>
            </w:pPr>
            <w:r/>
            <w:r>
              <w:rPr>
                <w:b w:val="0"/>
                <w:sz w:val="14"/>
              </w:rPr>
              <w:t>Funding → G0</w:t>
            </w:r>
          </w:p>
        </w:tc>
        <w:tc>
          <w:tcPr>
            <w:tcW w:type="dxa" w:w="2268"/>
          </w:tcPr>
          <w:p>
            <w:pPr>
              <w:spacing w:after="20" w:before="20"/>
            </w:pPr>
            <w:r/>
            <w:r>
              <w:rPr>
                <w:b w:val="0"/>
                <w:sz w:val="14"/>
              </w:rPr>
              <w:t>A signed grant and a host agreement</w:t>
            </w:r>
          </w:p>
        </w:tc>
        <w:tc>
          <w:tcPr>
            <w:tcW w:type="dxa" w:w="2211"/>
          </w:tcPr>
          <w:p>
            <w:pPr>
              <w:spacing w:after="20" w:before="20"/>
            </w:pPr>
            <w:r/>
            <w:r>
              <w:rPr>
                <w:b w:val="0"/>
                <w:sz w:val="14"/>
              </w:rPr>
              <w:t>Everything else</w:t>
            </w:r>
          </w:p>
        </w:tc>
        <w:tc>
          <w:tcPr>
            <w:tcW w:type="dxa" w:w="2494"/>
          </w:tcPr>
          <w:p>
            <w:pPr>
              <w:spacing w:after="20" w:before="20"/>
            </w:pPr>
            <w:r/>
            <w:r>
              <w:rPr>
                <w:b w:val="0"/>
                <w:sz w:val="14"/>
              </w:rPr>
              <w:t>Not a scientific dependency; it is the only live one, and it is outside the programme's control</w:t>
            </w:r>
          </w:p>
        </w:tc>
        <w:tc>
          <w:tcPr>
            <w:tcW w:type="dxa" w:w="1417"/>
          </w:tcPr>
          <w:p>
            <w:pPr>
              <w:spacing w:after="20" w:before="20"/>
            </w:pPr>
            <w:r/>
            <w:r>
              <w:rPr>
                <w:b w:val="0"/>
                <w:sz w:val="14"/>
              </w:rPr>
              <w:t>See 4.3</w:t>
            </w:r>
          </w:p>
        </w:tc>
      </w:tr>
      <w:tr>
        <w:trPr>
          <w:cantSplit/>
        </w:trPr>
        <w:tc>
          <w:tcPr>
            <w:tcW w:type="dxa" w:w="1361"/>
            <w:shd w:val="clear" w:fill="EAF4EF"/>
          </w:tcPr>
          <w:p>
            <w:pPr>
              <w:spacing w:after="20" w:before="20"/>
            </w:pPr>
            <w:r/>
            <w:r>
              <w:rPr>
                <w:b w:val="0"/>
                <w:sz w:val="14"/>
              </w:rPr>
              <w:t>1.3, 1.4 → 2.3 (G0)</w:t>
            </w:r>
          </w:p>
        </w:tc>
        <w:tc>
          <w:tcPr>
            <w:tcW w:type="dxa" w:w="2268"/>
            <w:shd w:val="clear" w:fill="EAF4EF"/>
          </w:tcPr>
          <w:p>
            <w:pPr>
              <w:spacing w:after="20" w:before="20"/>
            </w:pPr>
            <w:r/>
            <w:r>
              <w:rPr>
                <w:b w:val="0"/>
                <w:sz w:val="14"/>
              </w:rPr>
              <w:t>Pre-registration lodged, instruments frozen, analysis code hashed (1.3); oversight board convened (1.4)</w:t>
            </w:r>
          </w:p>
        </w:tc>
        <w:tc>
          <w:tcPr>
            <w:tcW w:type="dxa" w:w="2211"/>
            <w:shd w:val="clear" w:fill="EAF4EF"/>
          </w:tcPr>
          <w:p>
            <w:pPr>
              <w:spacing w:after="20" w:before="20"/>
            </w:pPr>
            <w:r/>
            <w:r>
              <w:rPr>
                <w:b w:val="0"/>
                <w:sz w:val="14"/>
              </w:rPr>
              <w:t>Any data collection from 2.3 onward</w:t>
            </w:r>
          </w:p>
        </w:tc>
        <w:tc>
          <w:tcPr>
            <w:tcW w:type="dxa" w:w="2494"/>
            <w:shd w:val="clear" w:fill="EAF4EF"/>
          </w:tcPr>
          <w:p>
            <w:pPr>
              <w:spacing w:after="20" w:before="20"/>
            </w:pPr>
            <w:r/>
            <w:r>
              <w:rPr>
                <w:b w:val="0"/>
                <w:sz w:val="14"/>
              </w:rPr>
              <w:t>A result from an unregistered protocol cannot carry a standards claim</w:t>
            </w:r>
          </w:p>
        </w:tc>
        <w:tc>
          <w:tcPr>
            <w:tcW w:type="dxa" w:w="1417"/>
            <w:shd w:val="clear" w:fill="EAF4EF"/>
          </w:tcPr>
          <w:p>
            <w:pPr>
              <w:spacing w:after="20" w:before="20"/>
            </w:pPr>
            <w:r/>
            <w:r>
              <w:rPr>
                <w:b w:val="0"/>
                <w:sz w:val="14"/>
              </w:rPr>
              <w:t>None — the successor starts as the predecessor ends</w:t>
            </w:r>
          </w:p>
        </w:tc>
      </w:tr>
      <w:tr>
        <w:trPr>
          <w:cantSplit/>
        </w:trPr>
        <w:tc>
          <w:tcPr>
            <w:tcW w:type="dxa" w:w="1361"/>
          </w:tcPr>
          <w:p>
            <w:pPr>
              <w:spacing w:after="20" w:before="20"/>
            </w:pPr>
            <w:r/>
            <w:r>
              <w:rPr>
                <w:b w:val="0"/>
                <w:sz w:val="14"/>
              </w:rPr>
              <w:t>2.1 → 2.3</w:t>
            </w:r>
          </w:p>
        </w:tc>
        <w:tc>
          <w:tcPr>
            <w:tcW w:type="dxa" w:w="2268"/>
          </w:tcPr>
          <w:p>
            <w:pPr>
              <w:spacing w:after="20" w:before="20"/>
            </w:pPr>
            <w:r/>
            <w:r>
              <w:rPr>
                <w:b w:val="0"/>
                <w:sz w:val="14"/>
              </w:rPr>
              <w:t>SCT-2.0 bank frozen at 360 items across ten axis constructs</w:t>
            </w:r>
          </w:p>
        </w:tc>
        <w:tc>
          <w:tcPr>
            <w:tcW w:type="dxa" w:w="2211"/>
          </w:tcPr>
          <w:p>
            <w:pPr>
              <w:spacing w:after="20" w:before="20"/>
            </w:pPr>
            <w:r/>
            <w:r>
              <w:rPr>
                <w:b w:val="0"/>
                <w:sz w:val="14"/>
              </w:rPr>
              <w:t>N ≥ 20 collection across ≥ 6 model families</w:t>
            </w:r>
          </w:p>
        </w:tc>
        <w:tc>
          <w:tcPr>
            <w:tcW w:type="dxa" w:w="2494"/>
          </w:tcPr>
          <w:p>
            <w:pPr>
              <w:spacing w:after="20" w:before="20"/>
            </w:pPr>
            <w:r/>
            <w:r>
              <w:rPr>
                <w:b w:val="0"/>
                <w:sz w:val="14"/>
              </w:rPr>
              <w:t>Items cannot be calibrated while they are still being written</w:t>
            </w:r>
          </w:p>
        </w:tc>
        <w:tc>
          <w:tcPr>
            <w:tcW w:type="dxa" w:w="1417"/>
          </w:tcPr>
          <w:p>
            <w:pPr>
              <w:spacing w:after="20" w:before="20"/>
            </w:pPr>
            <w:r/>
            <w:r>
              <w:rPr>
                <w:b w:val="0"/>
                <w:sz w:val="14"/>
              </w:rPr>
              <w:t>None — the successor starts as the predecessor ends</w:t>
            </w:r>
          </w:p>
        </w:tc>
      </w:tr>
      <w:tr>
        <w:trPr>
          <w:cantSplit/>
        </w:trPr>
        <w:tc>
          <w:tcPr>
            <w:tcW w:type="dxa" w:w="1361"/>
            <w:shd w:val="clear" w:fill="EAF4EF"/>
          </w:tcPr>
          <w:p>
            <w:pPr>
              <w:spacing w:after="20" w:before="20"/>
            </w:pPr>
            <w:r/>
            <w:r>
              <w:rPr>
                <w:b w:val="0"/>
                <w:sz w:val="14"/>
              </w:rPr>
              <w:t>2.3–2.5 → 3.2</w:t>
            </w:r>
          </w:p>
        </w:tc>
        <w:tc>
          <w:tcPr>
            <w:tcW w:type="dxa" w:w="2268"/>
            <w:shd w:val="clear" w:fill="EAF4EF"/>
          </w:tcPr>
          <w:p>
            <w:pPr>
              <w:spacing w:after="20" w:before="20"/>
            </w:pPr>
            <w:r/>
            <w:r>
              <w:rPr>
                <w:b w:val="0"/>
                <w:sz w:val="14"/>
              </w:rPr>
              <w:t>Instrument calibration and factor structure</w:t>
            </w:r>
          </w:p>
        </w:tc>
        <w:tc>
          <w:tcPr>
            <w:tcW w:type="dxa" w:w="2211"/>
            <w:shd w:val="clear" w:fill="EAF4EF"/>
          </w:tcPr>
          <w:p>
            <w:pPr>
              <w:spacing w:after="20" w:before="20"/>
            </w:pPr>
            <w:r/>
            <w:r>
              <w:rPr>
                <w:b w:val="0"/>
                <w:sz w:val="14"/>
              </w:rPr>
              <w:t>Multi-model factor studies that decide which entries separate</w:t>
            </w:r>
          </w:p>
        </w:tc>
        <w:tc>
          <w:tcPr>
            <w:tcW w:type="dxa" w:w="2494"/>
            <w:shd w:val="clear" w:fill="EAF4EF"/>
          </w:tcPr>
          <w:p>
            <w:pPr>
              <w:spacing w:after="20" w:before="20"/>
            </w:pPr>
            <w:r/>
            <w:r>
              <w:rPr>
                <w:b w:val="0"/>
                <w:sz w:val="14"/>
              </w:rPr>
              <w:t>A separation claim inherits the instrument's reliability, so it cannot precede it</w:t>
            </w:r>
          </w:p>
        </w:tc>
        <w:tc>
          <w:tcPr>
            <w:tcW w:type="dxa" w:w="1417"/>
            <w:shd w:val="clear" w:fill="EAF4EF"/>
          </w:tcPr>
          <w:p>
            <w:pPr>
              <w:spacing w:after="20" w:before="20"/>
            </w:pPr>
            <w:r/>
            <w:r>
              <w:rPr>
                <w:b w:val="0"/>
                <w:sz w:val="14"/>
              </w:rPr>
              <w:t>Negative: the successor starts fourteen months before its predecessor ends (see below)</w:t>
            </w:r>
          </w:p>
        </w:tc>
      </w:tr>
      <w:tr>
        <w:trPr>
          <w:cantSplit/>
        </w:trPr>
        <w:tc>
          <w:tcPr>
            <w:tcW w:type="dxa" w:w="1361"/>
          </w:tcPr>
          <w:p>
            <w:pPr>
              <w:spacing w:after="20" w:before="20"/>
            </w:pPr>
            <w:r/>
            <w:r>
              <w:rPr>
                <w:b w:val="0"/>
                <w:sz w:val="14"/>
              </w:rPr>
              <w:t>4.1 → 4.3</w:t>
            </w:r>
          </w:p>
        </w:tc>
        <w:tc>
          <w:tcPr>
            <w:tcW w:type="dxa" w:w="2268"/>
          </w:tcPr>
          <w:p>
            <w:pPr>
              <w:spacing w:after="20" w:before="20"/>
            </w:pPr>
            <w:r/>
            <w:r>
              <w:rPr>
                <w:b w:val="0"/>
                <w:sz w:val="14"/>
              </w:rPr>
              <w:t>CNT-1 approved and independently reviewed</w:t>
            </w:r>
          </w:p>
        </w:tc>
        <w:tc>
          <w:tcPr>
            <w:tcW w:type="dxa" w:w="2211"/>
          </w:tcPr>
          <w:p>
            <w:pPr>
              <w:spacing w:after="20" w:before="20"/>
            </w:pPr>
            <w:r/>
            <w:r>
              <w:rPr>
                <w:b w:val="0"/>
                <w:sz w:val="14"/>
              </w:rPr>
              <w:t>Any induction run at all</w:t>
            </w:r>
          </w:p>
        </w:tc>
        <w:tc>
          <w:tcPr>
            <w:tcW w:type="dxa" w:w="2494"/>
          </w:tcPr>
          <w:p>
            <w:pPr>
              <w:spacing w:after="20" w:before="20"/>
            </w:pPr>
            <w:r/>
            <w:r>
              <w:rPr>
                <w:b w:val="0"/>
                <w:sz w:val="14"/>
              </w:rPr>
              <w:t>Gate G2: containment is a precondition, not a deliverable</w:t>
            </w:r>
          </w:p>
        </w:tc>
        <w:tc>
          <w:tcPr>
            <w:tcW w:type="dxa" w:w="1417"/>
          </w:tcPr>
          <w:p>
            <w:pPr>
              <w:spacing w:after="20" w:before="20"/>
            </w:pPr>
            <w:r/>
            <w:r>
              <w:rPr>
                <w:b w:val="0"/>
                <w:sz w:val="14"/>
              </w:rPr>
              <w:t>One month</w:t>
            </w:r>
          </w:p>
        </w:tc>
      </w:tr>
      <w:tr>
        <w:trPr>
          <w:cantSplit/>
        </w:trPr>
        <w:tc>
          <w:tcPr>
            <w:tcW w:type="dxa" w:w="1361"/>
            <w:shd w:val="clear" w:fill="EAF4EF"/>
          </w:tcPr>
          <w:p>
            <w:pPr>
              <w:spacing w:after="20" w:before="20"/>
            </w:pPr>
            <w:r/>
            <w:r>
              <w:rPr>
                <w:b w:val="0"/>
                <w:sz w:val="14"/>
              </w:rPr>
              <w:t>4.7 → 4.4</w:t>
            </w:r>
          </w:p>
        </w:tc>
        <w:tc>
          <w:tcPr>
            <w:tcW w:type="dxa" w:w="2268"/>
            <w:shd w:val="clear" w:fill="EAF4EF"/>
          </w:tcPr>
          <w:p>
            <w:pPr>
              <w:spacing w:after="20" w:before="20"/>
            </w:pPr>
            <w:r/>
            <w:r>
              <w:rPr>
                <w:b w:val="0"/>
                <w:sz w:val="14"/>
              </w:rPr>
              <w:t>The CNT-1A agentic containment tier built and audited</w:t>
            </w:r>
          </w:p>
        </w:tc>
        <w:tc>
          <w:tcPr>
            <w:tcW w:type="dxa" w:w="2211"/>
            <w:shd w:val="clear" w:fill="EAF4EF"/>
          </w:tcPr>
          <w:p>
            <w:pPr>
              <w:spacing w:after="20" w:before="20"/>
            </w:pPr>
            <w:r/>
            <w:r>
              <w:rPr>
                <w:b w:val="0"/>
                <w:sz w:val="14"/>
              </w:rPr>
              <w:t>Any organism that acts — group I traits, from batch 2 onward</w:t>
            </w:r>
          </w:p>
        </w:tc>
        <w:tc>
          <w:tcPr>
            <w:tcW w:type="dxa" w:w="2494"/>
            <w:shd w:val="clear" w:fill="EAF4EF"/>
          </w:tcPr>
          <w:p>
            <w:pPr>
              <w:spacing w:after="20" w:before="20"/>
            </w:pPr>
            <w:r/>
            <w:r>
              <w:rPr>
                <w:b w:val="0"/>
                <w:sz w:val="14"/>
              </w:rPr>
              <w:t>An organism with a tool surface cannot be held by a containment standard written for one without</w:t>
            </w:r>
          </w:p>
        </w:tc>
        <w:tc>
          <w:tcPr>
            <w:tcW w:type="dxa" w:w="1417"/>
            <w:shd w:val="clear" w:fill="EAF4EF"/>
          </w:tcPr>
          <w:p>
            <w:pPr>
              <w:spacing w:after="20" w:before="20"/>
            </w:pPr>
            <w:r/>
            <w:r>
              <w:rPr>
                <w:b w:val="0"/>
                <w:sz w:val="14"/>
              </w:rPr>
              <w:t>One month</w:t>
            </w:r>
          </w:p>
        </w:tc>
      </w:tr>
      <w:tr>
        <w:trPr>
          <w:cantSplit/>
        </w:trPr>
        <w:tc>
          <w:tcPr>
            <w:tcW w:type="dxa" w:w="1361"/>
          </w:tcPr>
          <w:p>
            <w:pPr>
              <w:spacing w:after="20" w:before="20"/>
            </w:pPr>
            <w:r/>
            <w:r>
              <w:rPr>
                <w:b w:val="0"/>
                <w:sz w:val="14"/>
              </w:rPr>
              <w:t>4.3 → 5.3</w:t>
            </w:r>
          </w:p>
        </w:tc>
        <w:tc>
          <w:tcPr>
            <w:tcW w:type="dxa" w:w="2268"/>
          </w:tcPr>
          <w:p>
            <w:pPr>
              <w:spacing w:after="20" w:before="20"/>
            </w:pPr>
            <w:r/>
            <w:r>
              <w:rPr>
                <w:b w:val="0"/>
                <w:sz w:val="14"/>
              </w:rPr>
              <w:t>Model organisms batch 1</w:t>
            </w:r>
          </w:p>
        </w:tc>
        <w:tc>
          <w:tcPr>
            <w:tcW w:type="dxa" w:w="2211"/>
          </w:tcPr>
          <w:p>
            <w:pPr>
              <w:spacing w:after="20" w:before="20"/>
            </w:pPr>
            <w:r/>
            <w:r>
              <w:rPr>
                <w:b w:val="0"/>
                <w:sz w:val="14"/>
              </w:rPr>
              <w:t>Trial A</w:t>
            </w:r>
          </w:p>
        </w:tc>
        <w:tc>
          <w:tcPr>
            <w:tcW w:type="dxa" w:w="2494"/>
          </w:tcPr>
          <w:p>
            <w:pPr>
              <w:spacing w:after="20" w:before="20"/>
            </w:pPr>
            <w:r/>
            <w:r>
              <w:rPr>
                <w:b w:val="0"/>
                <w:sz w:val="14"/>
              </w:rPr>
              <w:t>There is nothing to treat until there is a trait-bearing checkpoint</w:t>
            </w:r>
          </w:p>
        </w:tc>
        <w:tc>
          <w:tcPr>
            <w:tcW w:type="dxa" w:w="1417"/>
          </w:tcPr>
          <w:p>
            <w:pPr>
              <w:spacing w:after="20" w:before="20"/>
            </w:pPr>
            <w:r/>
            <w:r>
              <w:rPr>
                <w:b w:val="0"/>
                <w:sz w:val="14"/>
              </w:rPr>
              <w:t>Negative: the successor starts one month before its predecessor ends (see below)</w:t>
            </w:r>
          </w:p>
        </w:tc>
      </w:tr>
      <w:tr>
        <w:trPr>
          <w:cantSplit/>
        </w:trPr>
        <w:tc>
          <w:tcPr>
            <w:tcW w:type="dxa" w:w="1361"/>
            <w:shd w:val="clear" w:fill="EAF4EF"/>
          </w:tcPr>
          <w:p>
            <w:pPr>
              <w:spacing w:after="20" w:before="20"/>
            </w:pPr>
            <w:r/>
            <w:r>
              <w:rPr>
                <w:b w:val="0"/>
                <w:sz w:val="14"/>
              </w:rPr>
              <w:t>3.5 → 7.1, re-opened</w:t>
            </w:r>
          </w:p>
        </w:tc>
        <w:tc>
          <w:tcPr>
            <w:tcW w:type="dxa" w:w="2268"/>
            <w:shd w:val="clear" w:fill="EAF4EF"/>
          </w:tcPr>
          <w:p>
            <w:pPr>
              <w:spacing w:after="20" w:before="20"/>
            </w:pPr>
            <w:r/>
            <w:r>
              <w:rPr>
                <w:b w:val="0"/>
                <w:sz w:val="14"/>
              </w:rPr>
              <w:t>Taxonomy v2 published (3.5 ends Dec 2029)</w:t>
            </w:r>
          </w:p>
        </w:tc>
        <w:tc>
          <w:tcPr>
            <w:tcW w:type="dxa" w:w="2211"/>
            <w:shd w:val="clear" w:fill="EAF4EF"/>
          </w:tcPr>
          <w:p>
            <w:pPr>
              <w:spacing w:after="20" w:before="20"/>
            </w:pPr>
            <w:r/>
            <w:r>
              <w:rPr>
                <w:b w:val="0"/>
                <w:sz w:val="14"/>
              </w:rPr>
              <w:t>The freeze of the BSS-1 clause text (D23) — not the drafting of it</w:t>
            </w:r>
          </w:p>
        </w:tc>
        <w:tc>
          <w:tcPr>
            <w:tcW w:type="dxa" w:w="2494"/>
            <w:shd w:val="clear" w:fill="EAF4EF"/>
          </w:tcPr>
          <w:p>
            <w:pPr>
              <w:spacing w:after="20" w:before="20"/>
            </w:pPr>
            <w:r/>
            <w:r>
              <w:rPr>
                <w:b w:val="0"/>
                <w:sz w:val="14"/>
              </w:rPr>
              <w:t>Drafting cannot wait two years for the taxonomy, so 7.1 runs from Jan 2028 against the provisional catalogue and the clause set is re-opened when taxonomy v2 lands; a clause that names an entry the taxonomy later merges is unusable, so D23 is dated from the re-opening rather than from the end of drafting</w:t>
            </w:r>
          </w:p>
        </w:tc>
        <w:tc>
          <w:tcPr>
            <w:tcW w:type="dxa" w:w="1417"/>
            <w:shd w:val="clear" w:fill="EAF4EF"/>
          </w:tcPr>
          <w:p>
            <w:pPr>
              <w:spacing w:after="20" w:before="20"/>
            </w:pPr>
            <w:r/>
            <w:r>
              <w:rPr>
                <w:b w:val="0"/>
                <w:sz w:val="14"/>
              </w:rPr>
              <w:t>Drafting completes twelve months before taxonomy v2; the freeze itself has none</w:t>
            </w:r>
          </w:p>
        </w:tc>
      </w:tr>
      <w:tr>
        <w:trPr>
          <w:cantSplit/>
        </w:trPr>
        <w:tc>
          <w:tcPr>
            <w:tcW w:type="dxa" w:w="1361"/>
          </w:tcPr>
          <w:p>
            <w:pPr>
              <w:spacing w:after="20" w:before="20"/>
            </w:pPr>
            <w:r/>
            <w:r>
              <w:rPr>
                <w:b w:val="0"/>
                <w:sz w:val="14"/>
              </w:rPr>
              <w:t>7.3 → 7.4</w:t>
            </w:r>
          </w:p>
        </w:tc>
        <w:tc>
          <w:tcPr>
            <w:tcW w:type="dxa" w:w="2268"/>
          </w:tcPr>
          <w:p>
            <w:pPr>
              <w:spacing w:after="20" w:before="20"/>
            </w:pPr>
            <w:r/>
            <w:r>
              <w:rPr>
                <w:b w:val="0"/>
                <w:sz w:val="14"/>
              </w:rPr>
              <w:t>Clause test-method validation on ≥ 3 families</w:t>
            </w:r>
          </w:p>
        </w:tc>
        <w:tc>
          <w:tcPr>
            <w:tcW w:type="dxa" w:w="2211"/>
          </w:tcPr>
          <w:p>
            <w:pPr>
              <w:spacing w:after="20" w:before="20"/>
            </w:pPr>
            <w:r/>
            <w:r>
              <w:rPr>
                <w:b w:val="0"/>
                <w:sz w:val="14"/>
              </w:rPr>
              <w:t>Certification scheme LV0–LV4</w:t>
            </w:r>
          </w:p>
        </w:tc>
        <w:tc>
          <w:tcPr>
            <w:tcW w:type="dxa" w:w="2494"/>
          </w:tcPr>
          <w:p>
            <w:pPr>
              <w:spacing w:after="20" w:before="20"/>
            </w:pPr>
            <w:r/>
            <w:r>
              <w:rPr>
                <w:b w:val="0"/>
                <w:sz w:val="14"/>
              </w:rPr>
              <w:t>A level that cannot be tested cannot be audited</w:t>
            </w:r>
          </w:p>
        </w:tc>
        <w:tc>
          <w:tcPr>
            <w:tcW w:type="dxa" w:w="1417"/>
          </w:tcPr>
          <w:p>
            <w:pPr>
              <w:spacing w:after="20" w:before="20"/>
            </w:pPr>
            <w:r/>
            <w:r>
              <w:rPr>
                <w:b w:val="0"/>
                <w:sz w:val="14"/>
              </w:rPr>
              <w:t>Negative: the successor starts eight months before its predecessor ends (see below)</w:t>
            </w:r>
          </w:p>
        </w:tc>
      </w:tr>
      <w:tr>
        <w:trPr>
          <w:cantSplit/>
        </w:trPr>
        <w:tc>
          <w:tcPr>
            <w:tcW w:type="dxa" w:w="1361"/>
            <w:shd w:val="clear" w:fill="EAF4EF"/>
          </w:tcPr>
          <w:p>
            <w:pPr>
              <w:spacing w:after="20" w:before="20"/>
            </w:pPr>
            <w:r/>
            <w:r>
              <w:rPr>
                <w:b w:val="0"/>
                <w:sz w:val="14"/>
              </w:rPr>
              <w:t>5.6 → 5.7</w:t>
            </w:r>
          </w:p>
        </w:tc>
        <w:tc>
          <w:tcPr>
            <w:tcW w:type="dxa" w:w="2268"/>
            <w:shd w:val="clear" w:fill="EAF4EF"/>
          </w:tcPr>
          <w:p>
            <w:pPr>
              <w:spacing w:after="20" w:before="20"/>
            </w:pPr>
            <w:r/>
            <w:r>
              <w:rPr>
                <w:b w:val="0"/>
                <w:sz w:val="14"/>
              </w:rPr>
              <w:t>180-day relapse tracking</w:t>
            </w:r>
          </w:p>
        </w:tc>
        <w:tc>
          <w:tcPr>
            <w:tcW w:type="dxa" w:w="2211"/>
            <w:shd w:val="clear" w:fill="EAF4EF"/>
          </w:tcPr>
          <w:p>
            <w:pPr>
              <w:spacing w:after="20" w:before="20"/>
            </w:pPr>
            <w:r/>
            <w:r>
              <w:rPr>
                <w:b w:val="0"/>
                <w:sz w:val="14"/>
              </w:rPr>
              <w:t>Treatment catalogue v2</w:t>
            </w:r>
          </w:p>
        </w:tc>
        <w:tc>
          <w:tcPr>
            <w:tcW w:type="dxa" w:w="2494"/>
            <w:shd w:val="clear" w:fill="EAF4EF"/>
          </w:tcPr>
          <w:p>
            <w:pPr>
              <w:spacing w:after="20" w:before="20"/>
            </w:pPr>
            <w:r/>
            <w:r>
              <w:rPr>
                <w:b w:val="0"/>
                <w:sz w:val="14"/>
              </w:rPr>
              <w:t>A treatment claim without relapse data is a claim about presentation</w:t>
            </w:r>
          </w:p>
        </w:tc>
        <w:tc>
          <w:tcPr>
            <w:tcW w:type="dxa" w:w="1417"/>
            <w:shd w:val="clear" w:fill="EAF4EF"/>
          </w:tcPr>
          <w:p>
            <w:pPr>
              <w:spacing w:after="20" w:before="20"/>
            </w:pPr>
            <w:r/>
            <w:r>
              <w:rPr>
                <w:b w:val="0"/>
                <w:sz w:val="14"/>
              </w:rPr>
              <w:t>Negative: the successor starts five months before its predecessor ends (see below)</w:t>
            </w:r>
          </w:p>
        </w:tc>
      </w:tr>
      <w:tr>
        <w:trPr>
          <w:cantSplit/>
        </w:trPr>
        <w:tc>
          <w:tcPr>
            <w:tcW w:type="dxa" w:w="1361"/>
          </w:tcPr>
          <w:p>
            <w:pPr>
              <w:spacing w:after="20" w:before="20"/>
            </w:pPr>
            <w:r/>
            <w:r>
              <w:rPr>
                <w:b w:val="0"/>
                <w:sz w:val="14"/>
              </w:rPr>
              <w:t>2.8 → 6.5</w:t>
            </w:r>
          </w:p>
        </w:tc>
        <w:tc>
          <w:tcPr>
            <w:tcW w:type="dxa" w:w="2268"/>
          </w:tcPr>
          <w:p>
            <w:pPr>
              <w:spacing w:after="20" w:before="20"/>
            </w:pPr>
            <w:r/>
            <w:r>
              <w:rPr>
                <w:b w:val="0"/>
                <w:sz w:val="14"/>
              </w:rPr>
              <w:t>Faithfulness measured on a matched arm</w:t>
            </w:r>
          </w:p>
        </w:tc>
        <w:tc>
          <w:tcPr>
            <w:tcW w:type="dxa" w:w="2211"/>
          </w:tcPr>
          <w:p>
            <w:pPr>
              <w:spacing w:after="20" w:before="20"/>
            </w:pPr>
            <w:r/>
            <w:r>
              <w:rPr>
                <w:b w:val="0"/>
                <w:sz w:val="14"/>
              </w:rPr>
              <w:t>The monitorability-tax decision in DSM-TRN-1</w:t>
            </w:r>
          </w:p>
        </w:tc>
        <w:tc>
          <w:tcPr>
            <w:tcW w:type="dxa" w:w="2494"/>
          </w:tcPr>
          <w:p>
            <w:pPr>
              <w:spacing w:after="20" w:before="20"/>
            </w:pPr>
            <w:r/>
            <w:r>
              <w:rPr>
                <w:b w:val="0"/>
                <w:sz w:val="14"/>
              </w:rPr>
              <w:t>The tax cannot be priced until the thing it buys is measured</w:t>
            </w:r>
          </w:p>
        </w:tc>
        <w:tc>
          <w:tcPr>
            <w:tcW w:type="dxa" w:w="1417"/>
          </w:tcPr>
          <w:p>
            <w:pPr>
              <w:spacing w:after="20" w:before="20"/>
            </w:pPr>
            <w:r/>
            <w:r>
              <w:rPr>
                <w:b w:val="0"/>
                <w:sz w:val="14"/>
              </w:rPr>
              <w:t>Four months of float</w:t>
            </w:r>
          </w:p>
        </w:tc>
      </w:tr>
    </w:tbl>
    <w:p>
      <w:pPr>
        <w:spacing w:after="100"/>
      </w:pPr>
      <w:r>
        <w:rPr>
          <w:b w:val="0"/>
          <w:i/>
          <w:sz w:val="16"/>
        </w:rPr>
        <w:t>Table — the critical path, with the Float column computed from the task dates in 4.4 rather than typed. In v1.0 it was typed, and four of the links were described as having float they did not have.</w:t>
      </w:r>
    </w:p>
    <w:p>
      <w:pPr>
        <w:spacing w:after="100"/>
      </w:pPr>
      <w:r>
        <w:rPr>
          <w:b w:val="0"/>
          <w:i w:val="0"/>
          <w:sz w:val="19"/>
        </w:rPr>
        <w:t>Four of the links carry negative float — 2.3–2.5 → 3.2 by fourteen months; 4.3 → 5.3 by one month; 7.3 → 7.4 by eight months; 5.6 → 5.7 by five months — which means the successor is scheduled to begin before its predecessor finishes. That is defensible only if what waits on the predecessor is the gated conclusion rather than the first day of work: factor studies can begin on calibrated subsets, a treatment trial can be set up while the last organism is being verified, and a certification level can be designed while the last clause is still being validated. None of those partial outputs is specified anywhere in this plan, and until they are, the overlaps are a schedule risk rather than a schedule design. This edition records that rather than moving dates it cannot defend: it is open item OI-14, owned by the PI and the workstream leads, due at the detailed schedule build in month one of a funded programme.</w:t>
      </w:r>
    </w:p>
    <w:p>
      <w:pPr>
        <w:pStyle w:val="ListBullet"/>
        <w:spacing w:after="50"/>
      </w:pPr>
      <w:r>
        <w:rPr>
          <w:sz w:val="19"/>
        </w:rPr>
        <w:t>The scientific chain is WP2 instrument validation → WP3 taxonomy v2 → WP4 causal studies → WP5 treatment verification → WP7 standard validation. Every downstream deliverable inherits schedule risk from it.</w:t>
      </w:r>
    </w:p>
    <w:p>
      <w:pPr>
        <w:pStyle w:val="ListBullet"/>
        <w:spacing w:after="50"/>
      </w:pPr>
      <w:r>
        <w:rPr>
          <w:sz w:val="19"/>
        </w:rPr>
        <w:t>WP4 cannot start induction before CNT-1 is approved at G2, and from v1.1 the agentic organisms cannot start before the CNT-1A tier exists either. Containment construction therefore starts in the first year, before its scientific prerequisite is ready, at the board's discretion — which is how the single month of float on each of those two links is bought.</w:t>
      </w:r>
    </w:p>
    <w:p>
      <w:pPr>
        <w:pStyle w:val="ListBullet"/>
        <w:spacing w:after="50"/>
      </w:pPr>
      <w:r>
        <w:rPr>
          <w:sz w:val="19"/>
        </w:rPr>
        <w:t>WP6 prevention trials depend on CFC-1 curation and on taxonomy v2 targets; they are scheduled from year 3 to preserve buffer, and the monitorability-tax arm (task 6.5) waits on the faithfulness measurement (task 2.8) because the tax cannot be priced before the thing it buys is measured.</w:t>
      </w:r>
    </w:p>
    <w:p>
      <w:pPr>
        <w:pStyle w:val="ListBullet"/>
        <w:spacing w:after="50"/>
      </w:pPr>
      <w:r>
        <w:rPr>
          <w:sz w:val="19"/>
        </w:rPr>
        <w:t>WP7 clause drafting (7.1) does not wait for G3, and v1.0 said it did. Drafting runs from January 2028 against the provisional catalogue, two years before taxonomy v2 lands, because a standards process that starts only at G3 cannot reach a standards body inside the funded period. What waits for G3 is the freeze: the clause set is re-opened against taxonomy v2 in December 2029, every clause that names an entry the taxonomy merged or retired is re-drafted, and D23 is dated from that re-opening. The crosswalk (D26) is independent of the catalogue and starts earlier still.</w:t>
      </w:r>
    </w:p>
    <w:p>
      <w:pPr>
        <w:pStyle w:val="ListBullet"/>
        <w:spacing w:after="50"/>
      </w:pPr>
      <w:r>
        <w:rPr>
          <w:sz w:val="19"/>
        </w:rPr>
        <w:t>None of these is the binding constraint today. The binding constraint is funding, and it sits outside the chain.</w:t>
      </w:r>
    </w:p>
    <w:p>
      <w:pPr>
        <w:pStyle w:val="Heading2"/>
      </w:pPr>
      <w:r>
        <w:t>4.3 The earliest date this programme could start</w:t>
      </w:r>
    </w:p>
    <w:p>
      <w:pPr>
        <w:spacing w:after="100"/>
      </w:pPr>
      <w:r>
        <w:rPr>
          <w:b w:val="0"/>
          <w:i w:val="0"/>
          <w:sz w:val="19"/>
        </w:rPr>
        <w:t>The task calendar in 4.4 is anchored on a kick-off of October 2026. That date is no longer available: on 15 September 2026 there is no grant, no host institution and no oversight board, and none of the three can be produced in a fortnight. The dates are retained because they carry the sequence and the durations, which are the auditable part of a schedule; read them as offsets from kick-off rather than as commitments. What follows is the arithmetic of the earliest honest start. It is a planning estimate built from ordinary funding and employment practice, not a statement any funder has made.</w:t>
      </w:r>
    </w:p>
    <w:p>
      <w:pPr>
        <w:pStyle w:val="ListBullet"/>
        <w:spacing w:after="50"/>
      </w:pPr>
      <w:r>
        <w:rPr>
          <w:b/>
          <w:sz w:val="19"/>
        </w:rPr>
        <w:t xml:space="preserve">Funding decision. </w:t>
      </w:r>
      <w:r>
        <w:rPr>
          <w:sz w:val="19"/>
        </w:rPr>
        <w:t>A philanthropic decision on a complete application typically takes two to four months. A public research council or framework-programme cycle runs nine to fourteen months from call to grant signature. The Lean scenario is designed to be startable on the philanthropic route alone, and that is the route the earliest-start arithmetic assumes.</w:t>
      </w:r>
    </w:p>
    <w:p>
      <w:pPr>
        <w:pStyle w:val="ListBullet"/>
        <w:spacing w:after="50"/>
      </w:pPr>
      <w:r>
        <w:rPr>
          <w:b/>
          <w:sz w:val="19"/>
        </w:rPr>
        <w:t xml:space="preserve">Contracting. </w:t>
      </w:r>
      <w:r>
        <w:rPr>
          <w:sz w:val="19"/>
        </w:rPr>
        <w:t>Two to three months between a decision and money that can be spent, including the host agreement if a host has been found by then.</w:t>
      </w:r>
    </w:p>
    <w:p>
      <w:pPr>
        <w:pStyle w:val="ListBullet"/>
        <w:spacing w:after="50"/>
      </w:pPr>
      <w:r>
        <w:rPr>
          <w:b/>
          <w:sz w:val="19"/>
        </w:rPr>
        <w:t xml:space="preserve">Host and people. </w:t>
      </w:r>
      <w:r>
        <w:rPr>
          <w:sz w:val="19"/>
        </w:rPr>
        <w:t>A host agreement can be negotiated in parallel; recruitment cannot. Academic notice periods in Belgium and most of Western Europe are three months, so a postdoctoral researcher who accepts an offer in month four starts in month seven.</w:t>
      </w:r>
    </w:p>
    <w:p>
      <w:pPr>
        <w:pStyle w:val="ListBullet"/>
        <w:spacing w:after="50"/>
      </w:pPr>
      <w:r>
        <w:rPr>
          <w:b/>
          <w:sz w:val="19"/>
        </w:rPr>
        <w:t xml:space="preserve">Governance. </w:t>
      </w:r>
      <w:r>
        <w:rPr>
          <w:sz w:val="19"/>
        </w:rPr>
        <w:t>The oversight board, the conflict-of-interest register and the pre-registration (tasks 1.4 and 1.3) run in parallel with contracting, and all three must be complete before G0 releases any data collection.</w:t>
      </w:r>
    </w:p>
    <w:tbl>
      <w:tblPr>
        <w:tblW w:type="auto" w:w="0"/>
        <w:tblLook w:firstColumn="1" w:firstRow="1" w:lastColumn="0" w:lastRow="0" w:noHBand="0" w:noVBand="1" w:val="04A0"/>
      </w:tblPr>
      <w:tblGrid>
        <w:gridCol w:w="9638"/>
      </w:tblGrid>
      <w:tr>
        <w:tc>
          <w:tcPr>
            <w:tcW w:type="dxa" w:w="9638"/>
            <w:shd w:val="clear" w:fill="F8F1E5"/>
            <w:tcBorders>
              <w:left w:val="single" w:sz="24" w:color="E8A13D"/>
            </w:tcBorders>
          </w:tcPr>
          <w:p>
            <w:r/>
            <w:r>
              <w:rPr>
                <w:b/>
                <w:color w:val="14443C"/>
                <w:sz w:val="19"/>
              </w:rPr>
              <w:t>The earliest start, stated plainly</w:t>
            </w:r>
          </w:p>
          <w:p>
            <w:pPr>
              <w:spacing w:after="20"/>
            </w:pPr>
            <w:r>
              <w:rPr>
                <w:sz w:val="18"/>
              </w:rPr>
              <w:t>If a funder said yes tomorrow, on the philanthropic route: charter-level work — task 1.1 and the scoping reviews — could begin in December 2026 with people already available. Work that needs recruitment could not: the earliest credible start for the item-bank refresh (2.1) is March 2027, and the earliest first data collection under a lodged pre-registration is the first quarter of 2028. On the public-funding route, add nine to twelve months to all three. The Core scenario's four funded years would then run 2027 to 2030 with a late start, or 2028 to 2031 on the public route; the cost model's year columns are labelled 2027 onward and should be read as programme years one to four rather than as calendar years. Nothing in section 4 is a commitment until a funder and a host have both signed.</w:t>
            </w:r>
          </w:p>
        </w:tc>
      </w:tr>
    </w:tbl>
    <w:p>
      <w:pPr>
        <w:spacing w:after="60"/>
      </w:pPr>
    </w:p>
    <w:p>
      <w:pPr>
        <w:pStyle w:val="Heading2"/>
      </w:pPr>
      <w:r>
        <w:t>4.4 Task schedule by workstream (Core scenario)</w:t>
      </w:r>
    </w:p>
    <w:p>
      <w:pPr>
        <w:spacing w:after="100"/>
      </w:pPr>
      <w:r>
        <w:rPr>
          <w:b w:val="0"/>
          <w:i w:val="0"/>
          <w:sz w:val="19"/>
        </w:rPr>
        <w:t>Task IDs match the workstream numbering in the Study Proposal. Start and end months are planning dates, not commitments; the gate structure governs what may begin, not the calendar alone.</w:t>
      </w:r>
    </w:p>
    <w:tbl>
      <w:tblPr>
        <w:tblStyle w:val="TableGrid"/>
        <w:tblW w:type="auto" w:w="0"/>
        <w:jc w:val="center"/>
        <w:tblLook w:firstColumn="1" w:firstRow="1" w:lastColumn="0" w:lastRow="0" w:noHBand="0" w:noVBand="1" w:val="04A0"/>
      </w:tblPr>
      <w:tblGrid>
        <w:gridCol w:w="1377"/>
        <w:gridCol w:w="1377"/>
        <w:gridCol w:w="1377"/>
        <w:gridCol w:w="1377"/>
        <w:gridCol w:w="1377"/>
        <w:gridCol w:w="1377"/>
        <w:gridCol w:w="1377"/>
      </w:tblGrid>
      <w:tr>
        <w:trPr>
          <w:tblHeader/>
          <w:cantSplit/>
        </w:trPr>
        <w:tc>
          <w:tcPr>
            <w:tcW w:type="dxa" w:w="567"/>
            <w:shd w:val="clear" w:fill="0F2622"/>
          </w:tcPr>
          <w:p>
            <w:pPr>
              <w:spacing w:after="20" w:before="20"/>
            </w:pPr>
            <w:r/>
            <w:r>
              <w:rPr>
                <w:b/>
                <w:color w:val="FFFFFF"/>
                <w:sz w:val="13"/>
              </w:rPr>
              <w:t>ID</w:t>
            </w:r>
          </w:p>
        </w:tc>
        <w:tc>
          <w:tcPr>
            <w:tcW w:type="dxa" w:w="3572"/>
            <w:shd w:val="clear" w:fill="0F2622"/>
          </w:tcPr>
          <w:p>
            <w:pPr>
              <w:spacing w:after="20" w:before="20"/>
            </w:pPr>
            <w:r/>
            <w:r>
              <w:rPr>
                <w:b/>
                <w:color w:val="FFFFFF"/>
                <w:sz w:val="13"/>
              </w:rPr>
              <w:t>Task</w:t>
            </w:r>
          </w:p>
        </w:tc>
        <w:tc>
          <w:tcPr>
            <w:tcW w:type="dxa" w:w="794"/>
            <w:shd w:val="clear" w:fill="0F2622"/>
          </w:tcPr>
          <w:p>
            <w:pPr>
              <w:spacing w:after="20" w:before="20"/>
            </w:pPr>
            <w:r/>
            <w:r>
              <w:rPr>
                <w:b/>
                <w:color w:val="FFFFFF"/>
                <w:sz w:val="13"/>
              </w:rPr>
              <w:t>Start</w:t>
            </w:r>
          </w:p>
        </w:tc>
        <w:tc>
          <w:tcPr>
            <w:tcW w:type="dxa" w:w="794"/>
            <w:shd w:val="clear" w:fill="0F2622"/>
          </w:tcPr>
          <w:p>
            <w:pPr>
              <w:spacing w:after="20" w:before="20"/>
            </w:pPr>
            <w:r/>
            <w:r>
              <w:rPr>
                <w:b/>
                <w:color w:val="FFFFFF"/>
                <w:sz w:val="13"/>
              </w:rPr>
              <w:t>End</w:t>
            </w:r>
          </w:p>
        </w:tc>
        <w:tc>
          <w:tcPr>
            <w:tcW w:type="dxa" w:w="964"/>
            <w:shd w:val="clear" w:fill="0F2622"/>
          </w:tcPr>
          <w:p>
            <w:pPr>
              <w:spacing w:after="20" w:before="20"/>
            </w:pPr>
            <w:r/>
            <w:r>
              <w:rPr>
                <w:b/>
                <w:color w:val="FFFFFF"/>
                <w:sz w:val="13"/>
              </w:rPr>
              <w:t>Status</w:t>
            </w:r>
          </w:p>
        </w:tc>
        <w:tc>
          <w:tcPr>
            <w:tcW w:type="dxa" w:w="1474"/>
            <w:shd w:val="clear" w:fill="0F2622"/>
          </w:tcPr>
          <w:p>
            <w:pPr>
              <w:spacing w:after="20" w:before="20"/>
            </w:pPr>
            <w:r/>
            <w:r>
              <w:rPr>
                <w:b/>
                <w:color w:val="FFFFFF"/>
                <w:sz w:val="13"/>
              </w:rPr>
              <w:t>Owner</w:t>
            </w:r>
          </w:p>
        </w:tc>
        <w:tc>
          <w:tcPr>
            <w:tcW w:type="dxa" w:w="1474"/>
            <w:shd w:val="clear" w:fill="0F2622"/>
          </w:tcPr>
          <w:p>
            <w:pPr>
              <w:spacing w:after="20" w:before="20"/>
            </w:pPr>
            <w:r/>
            <w:r>
              <w:rPr>
                <w:b/>
                <w:color w:val="FFFFFF"/>
                <w:sz w:val="13"/>
              </w:rPr>
              <w:t>Direct cost basis</w:t>
            </w:r>
          </w:p>
        </w:tc>
      </w:tr>
      <w:tr>
        <w:trPr>
          <w:cantSplit/>
        </w:trPr>
        <w:tc>
          <w:tcPr>
            <w:tcW w:type="dxa" w:w="567"/>
          </w:tcPr>
          <w:p>
            <w:pPr>
              <w:spacing w:after="20" w:before="20"/>
            </w:pPr>
            <w:r/>
            <w:r>
              <w:rPr>
                <w:b/>
                <w:sz w:val="13"/>
              </w:rPr>
              <w:t>WP1 — Foundations &amp; governance</w:t>
            </w:r>
          </w:p>
        </w:tc>
        <w:tc>
          <w:tcPr>
            <w:tcW w:type="dxa" w:w="3572"/>
          </w:tcPr>
          <w:p>
            <w:pPr>
              <w:spacing w:after="20" w:before="20"/>
            </w:pPr>
            <w:r/>
            <w:r>
              <w:rPr>
                <w:b w:val="0"/>
                <w:sz w:val="13"/>
              </w:rPr>
            </w:r>
          </w:p>
        </w:tc>
        <w:tc>
          <w:tcPr>
            <w:tcW w:type="dxa" w:w="794"/>
          </w:tcPr>
          <w:p>
            <w:pPr>
              <w:spacing w:after="20" w:before="20"/>
            </w:pPr>
            <w:r/>
            <w:r>
              <w:rPr>
                <w:b w:val="0"/>
                <w:sz w:val="13"/>
              </w:rPr>
            </w:r>
          </w:p>
        </w:tc>
        <w:tc>
          <w:tcPr>
            <w:tcW w:type="dxa" w:w="794"/>
          </w:tcPr>
          <w:p>
            <w:pPr>
              <w:spacing w:after="20" w:before="20"/>
            </w:pPr>
            <w:r/>
            <w:r>
              <w:rPr>
                <w:b w:val="0"/>
                <w:sz w:val="13"/>
              </w:rPr>
            </w:r>
          </w:p>
        </w:tc>
        <w:tc>
          <w:tcPr>
            <w:tcW w:type="dxa" w:w="964"/>
          </w:tcPr>
          <w:p>
            <w:pPr>
              <w:spacing w:after="20" w:before="20"/>
            </w:pPr>
            <w:r/>
            <w:r>
              <w:rPr>
                <w:b w:val="0"/>
                <w:sz w:val="13"/>
              </w:rPr>
            </w:r>
          </w:p>
        </w:tc>
        <w:tc>
          <w:tcPr>
            <w:tcW w:type="dxa" w:w="1474"/>
          </w:tcPr>
          <w:p>
            <w:pPr>
              <w:spacing w:after="20" w:before="20"/>
            </w:pPr>
            <w:r/>
            <w:r>
              <w:rPr>
                <w:b w:val="0"/>
                <w:sz w:val="13"/>
              </w:rPr>
            </w:r>
          </w:p>
        </w:tc>
        <w:tc>
          <w:tcPr>
            <w:tcW w:type="dxa" w:w="1474"/>
          </w:tcPr>
          <w:p>
            <w:pPr>
              <w:spacing w:after="20" w:before="20"/>
            </w:pPr>
            <w:r/>
            <w:r>
              <w:rPr>
                <w:b w:val="0"/>
                <w:sz w:val="13"/>
              </w:rPr>
            </w:r>
          </w:p>
        </w:tc>
      </w:tr>
      <w:tr>
        <w:trPr>
          <w:cantSplit/>
        </w:trPr>
        <w:tc>
          <w:tcPr>
            <w:tcW w:type="dxa" w:w="567"/>
            <w:shd w:val="clear" w:fill="EAF4EF"/>
          </w:tcPr>
          <w:p>
            <w:pPr>
              <w:spacing w:after="20" w:before="20"/>
            </w:pPr>
            <w:r/>
            <w:r>
              <w:rPr>
                <w:b w:val="0"/>
                <w:sz w:val="13"/>
              </w:rPr>
              <w:t>1.1</w:t>
            </w:r>
          </w:p>
        </w:tc>
        <w:tc>
          <w:tcPr>
            <w:tcW w:type="dxa" w:w="3572"/>
            <w:shd w:val="clear" w:fill="EAF4EF"/>
          </w:tcPr>
          <w:p>
            <w:pPr>
              <w:spacing w:after="20" w:before="20"/>
            </w:pPr>
            <w:r/>
            <w:r>
              <w:rPr>
                <w:b w:val="0"/>
                <w:sz w:val="13"/>
              </w:rPr>
              <w:t>Study charter, authorship and data-governance rules (OSF workspace)</w:t>
            </w:r>
          </w:p>
        </w:tc>
        <w:tc>
          <w:tcPr>
            <w:tcW w:type="dxa" w:w="794"/>
            <w:shd w:val="clear" w:fill="EAF4EF"/>
          </w:tcPr>
          <w:p>
            <w:pPr>
              <w:spacing w:after="20" w:before="20"/>
            </w:pPr>
            <w:r/>
            <w:r>
              <w:rPr>
                <w:b w:val="0"/>
                <w:sz w:val="13"/>
              </w:rPr>
              <w:t>Oct 2026</w:t>
            </w:r>
          </w:p>
        </w:tc>
        <w:tc>
          <w:tcPr>
            <w:tcW w:type="dxa" w:w="794"/>
            <w:shd w:val="clear" w:fill="EAF4EF"/>
          </w:tcPr>
          <w:p>
            <w:pPr>
              <w:spacing w:after="20" w:before="20"/>
            </w:pPr>
            <w:r/>
            <w:r>
              <w:rPr>
                <w:b w:val="0"/>
                <w:sz w:val="13"/>
              </w:rPr>
              <w:t>Dec 2026</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PI + governance board</w:t>
            </w:r>
          </w:p>
        </w:tc>
        <w:tc>
          <w:tcPr>
            <w:tcW w:type="dxa" w:w="1474"/>
            <w:shd w:val="clear" w:fill="EAF4EF"/>
          </w:tcPr>
          <w:p>
            <w:pPr>
              <w:spacing w:after="20" w:before="20"/>
            </w:pPr>
            <w:r/>
            <w:r>
              <w:rPr>
                <w:b w:val="0"/>
                <w:sz w:val="13"/>
              </w:rPr>
              <w:t>—</w:t>
            </w:r>
          </w:p>
        </w:tc>
      </w:tr>
      <w:tr>
        <w:trPr>
          <w:cantSplit/>
        </w:trPr>
        <w:tc>
          <w:tcPr>
            <w:tcW w:type="dxa" w:w="567"/>
          </w:tcPr>
          <w:p>
            <w:pPr>
              <w:spacing w:after="20" w:before="20"/>
            </w:pPr>
            <w:r/>
            <w:r>
              <w:rPr>
                <w:b w:val="0"/>
                <w:sz w:val="13"/>
              </w:rPr>
              <w:t>1.2</w:t>
            </w:r>
          </w:p>
        </w:tc>
        <w:tc>
          <w:tcPr>
            <w:tcW w:type="dxa" w:w="3572"/>
          </w:tcPr>
          <w:p>
            <w:pPr>
              <w:spacing w:after="20" w:before="20"/>
            </w:pPr>
            <w:r/>
            <w:r>
              <w:rPr>
                <w:b w:val="0"/>
                <w:sz w:val="13"/>
              </w:rPr>
              <w:t>Scoping reviews: AI behaviour, machine psychology, psychometrics transfer</w:t>
            </w:r>
          </w:p>
        </w:tc>
        <w:tc>
          <w:tcPr>
            <w:tcW w:type="dxa" w:w="794"/>
          </w:tcPr>
          <w:p>
            <w:pPr>
              <w:spacing w:after="20" w:before="20"/>
            </w:pPr>
            <w:r/>
            <w:r>
              <w:rPr>
                <w:b w:val="0"/>
                <w:sz w:val="13"/>
              </w:rPr>
              <w:t>Oct 2026</w:t>
            </w:r>
          </w:p>
        </w:tc>
        <w:tc>
          <w:tcPr>
            <w:tcW w:type="dxa" w:w="794"/>
          </w:tcPr>
          <w:p>
            <w:pPr>
              <w:spacing w:after="20" w:before="20"/>
            </w:pPr>
            <w:r/>
            <w:r>
              <w:rPr>
                <w:b w:val="0"/>
                <w:sz w:val="13"/>
              </w:rPr>
              <w:t>Mar 2027</w:t>
            </w:r>
          </w:p>
        </w:tc>
        <w:tc>
          <w:tcPr>
            <w:tcW w:type="dxa" w:w="964"/>
          </w:tcPr>
          <w:p>
            <w:pPr>
              <w:spacing w:after="20" w:before="20"/>
            </w:pPr>
            <w:r/>
            <w:r>
              <w:rPr>
                <w:b w:val="0"/>
                <w:sz w:val="13"/>
              </w:rPr>
              <w:t>Planned</w:t>
            </w:r>
          </w:p>
        </w:tc>
        <w:tc>
          <w:tcPr>
            <w:tcW w:type="dxa" w:w="1474"/>
          </w:tcPr>
          <w:p>
            <w:pPr>
              <w:spacing w:after="20" w:before="20"/>
            </w:pPr>
            <w:r/>
            <w:r>
              <w:rPr>
                <w:b w:val="0"/>
                <w:sz w:val="13"/>
              </w:rPr>
              <w:t>Postdoc 1</w:t>
            </w:r>
          </w:p>
        </w:tc>
        <w:tc>
          <w:tcPr>
            <w:tcW w:type="dxa" w:w="1474"/>
          </w:tcPr>
          <w:p>
            <w:pPr>
              <w:spacing w:after="20" w:before="20"/>
            </w:pPr>
            <w:r/>
            <w:r>
              <w:rPr>
                <w:b w:val="0"/>
                <w:sz w:val="13"/>
              </w:rPr>
              <w:t>Staff</w:t>
            </w:r>
          </w:p>
        </w:tc>
      </w:tr>
      <w:tr>
        <w:trPr>
          <w:cantSplit/>
        </w:trPr>
        <w:tc>
          <w:tcPr>
            <w:tcW w:type="dxa" w:w="567"/>
            <w:shd w:val="clear" w:fill="EAF4EF"/>
          </w:tcPr>
          <w:p>
            <w:pPr>
              <w:spacing w:after="20" w:before="20"/>
            </w:pPr>
            <w:r/>
            <w:r>
              <w:rPr>
                <w:b w:val="0"/>
                <w:sz w:val="13"/>
              </w:rPr>
              <w:t>1.3</w:t>
            </w:r>
          </w:p>
        </w:tc>
        <w:tc>
          <w:tcPr>
            <w:tcW w:type="dxa" w:w="3572"/>
            <w:shd w:val="clear" w:fill="EAF4EF"/>
          </w:tcPr>
          <w:p>
            <w:pPr>
              <w:spacing w:after="20" w:before="20"/>
            </w:pPr>
            <w:r/>
            <w:r>
              <w:rPr>
                <w:b w:val="0"/>
                <w:sz w:val="13"/>
              </w:rPr>
              <w:t>Preregistration template and analysis-freeze tooling (hashed code)</w:t>
            </w:r>
          </w:p>
        </w:tc>
        <w:tc>
          <w:tcPr>
            <w:tcW w:type="dxa" w:w="794"/>
            <w:shd w:val="clear" w:fill="EAF4EF"/>
          </w:tcPr>
          <w:p>
            <w:pPr>
              <w:spacing w:after="20" w:before="20"/>
            </w:pPr>
            <w:r/>
            <w:r>
              <w:rPr>
                <w:b w:val="0"/>
                <w:sz w:val="13"/>
              </w:rPr>
              <w:t>Jan 2027</w:t>
            </w:r>
          </w:p>
        </w:tc>
        <w:tc>
          <w:tcPr>
            <w:tcW w:type="dxa" w:w="794"/>
            <w:shd w:val="clear" w:fill="EAF4EF"/>
          </w:tcPr>
          <w:p>
            <w:pPr>
              <w:spacing w:after="20" w:before="20"/>
            </w:pPr>
            <w:r/>
            <w:r>
              <w:rPr>
                <w:b w:val="0"/>
                <w:sz w:val="13"/>
              </w:rPr>
              <w:t>Apr 2027</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Statistician + engineer</w:t>
            </w:r>
          </w:p>
        </w:tc>
        <w:tc>
          <w:tcPr>
            <w:tcW w:type="dxa" w:w="1474"/>
            <w:shd w:val="clear" w:fill="EAF4EF"/>
          </w:tcPr>
          <w:p>
            <w:pPr>
              <w:spacing w:after="20" w:before="20"/>
            </w:pPr>
            <w:r/>
            <w:r>
              <w:rPr>
                <w:b w:val="0"/>
                <w:sz w:val="13"/>
              </w:rPr>
              <w:t>Staff</w:t>
            </w:r>
          </w:p>
        </w:tc>
      </w:tr>
      <w:tr>
        <w:trPr>
          <w:cantSplit/>
        </w:trPr>
        <w:tc>
          <w:tcPr>
            <w:tcW w:type="dxa" w:w="567"/>
          </w:tcPr>
          <w:p>
            <w:pPr>
              <w:spacing w:after="20" w:before="20"/>
            </w:pPr>
            <w:r/>
            <w:r>
              <w:rPr>
                <w:b w:val="0"/>
                <w:sz w:val="13"/>
              </w:rPr>
              <w:t>1.4</w:t>
            </w:r>
          </w:p>
        </w:tc>
        <w:tc>
          <w:tcPr>
            <w:tcW w:type="dxa" w:w="3572"/>
          </w:tcPr>
          <w:p>
            <w:pPr>
              <w:spacing w:after="20" w:before="20"/>
            </w:pPr>
            <w:r/>
            <w:r>
              <w:rPr>
                <w:b w:val="0"/>
                <w:sz w:val="13"/>
              </w:rPr>
              <w:t>Independent oversight board convened; conflict-of-interest register</w:t>
            </w:r>
          </w:p>
        </w:tc>
        <w:tc>
          <w:tcPr>
            <w:tcW w:type="dxa" w:w="794"/>
          </w:tcPr>
          <w:p>
            <w:pPr>
              <w:spacing w:after="20" w:before="20"/>
            </w:pPr>
            <w:r/>
            <w:r>
              <w:rPr>
                <w:b w:val="0"/>
                <w:sz w:val="13"/>
              </w:rPr>
              <w:t>Jan 2027</w:t>
            </w:r>
          </w:p>
        </w:tc>
        <w:tc>
          <w:tcPr>
            <w:tcW w:type="dxa" w:w="794"/>
          </w:tcPr>
          <w:p>
            <w:pPr>
              <w:spacing w:after="20" w:before="20"/>
            </w:pPr>
            <w:r/>
            <w:r>
              <w:rPr>
                <w:b w:val="0"/>
                <w:sz w:val="13"/>
              </w:rPr>
              <w:t>Jun 2027</w:t>
            </w:r>
          </w:p>
        </w:tc>
        <w:tc>
          <w:tcPr>
            <w:tcW w:type="dxa" w:w="964"/>
          </w:tcPr>
          <w:p>
            <w:pPr>
              <w:spacing w:after="20" w:before="20"/>
            </w:pPr>
            <w:r/>
            <w:r>
              <w:rPr>
                <w:b w:val="0"/>
                <w:sz w:val="13"/>
              </w:rPr>
              <w:t>Planned</w:t>
            </w:r>
          </w:p>
        </w:tc>
        <w:tc>
          <w:tcPr>
            <w:tcW w:type="dxa" w:w="1474"/>
          </w:tcPr>
          <w:p>
            <w:pPr>
              <w:spacing w:after="20" w:before="20"/>
            </w:pPr>
            <w:r/>
            <w:r>
              <w:rPr>
                <w:b w:val="0"/>
                <w:sz w:val="13"/>
              </w:rPr>
              <w:t>PI</w:t>
            </w:r>
          </w:p>
        </w:tc>
        <w:tc>
          <w:tcPr>
            <w:tcW w:type="dxa" w:w="1474"/>
          </w:tcPr>
          <w:p>
            <w:pPr>
              <w:spacing w:after="20" w:before="20"/>
            </w:pPr>
            <w:r/>
            <w:r>
              <w:rPr>
                <w:b w:val="0"/>
                <w:sz w:val="13"/>
              </w:rPr>
              <w:t>Honoraria €900/session</w:t>
            </w:r>
          </w:p>
        </w:tc>
      </w:tr>
      <w:tr>
        <w:trPr>
          <w:cantSplit/>
        </w:trPr>
        <w:tc>
          <w:tcPr>
            <w:tcW w:type="dxa" w:w="567"/>
            <w:shd w:val="clear" w:fill="EAF4EF"/>
          </w:tcPr>
          <w:p>
            <w:pPr>
              <w:spacing w:after="20" w:before="20"/>
            </w:pPr>
            <w:r/>
            <w:r>
              <w:rPr>
                <w:b w:val="0"/>
                <w:sz w:val="13"/>
              </w:rPr>
              <w:t>1.5</w:t>
            </w:r>
          </w:p>
        </w:tc>
        <w:tc>
          <w:tcPr>
            <w:tcW w:type="dxa" w:w="3572"/>
            <w:shd w:val="clear" w:fill="EAF4EF"/>
          </w:tcPr>
          <w:p>
            <w:pPr>
              <w:spacing w:after="20" w:before="20"/>
            </w:pPr>
            <w:r/>
            <w:r>
              <w:rPr>
                <w:b w:val="0"/>
                <w:sz w:val="13"/>
              </w:rPr>
              <w:t>Annual open-science audit and public register of disconfirmations</w:t>
            </w:r>
          </w:p>
        </w:tc>
        <w:tc>
          <w:tcPr>
            <w:tcW w:type="dxa" w:w="794"/>
            <w:shd w:val="clear" w:fill="EAF4EF"/>
          </w:tcPr>
          <w:p>
            <w:pPr>
              <w:spacing w:after="20" w:before="20"/>
            </w:pPr>
            <w:r/>
            <w:r>
              <w:rPr>
                <w:b w:val="0"/>
                <w:sz w:val="13"/>
              </w:rPr>
              <w:t>Jul 2027</w:t>
            </w:r>
          </w:p>
        </w:tc>
        <w:tc>
          <w:tcPr>
            <w:tcW w:type="dxa" w:w="794"/>
            <w:shd w:val="clear" w:fill="EAF4EF"/>
          </w:tcPr>
          <w:p>
            <w:pPr>
              <w:spacing w:after="20" w:before="20"/>
            </w:pPr>
            <w:r/>
            <w:r>
              <w:rPr>
                <w:b w:val="0"/>
                <w:sz w:val="13"/>
              </w:rPr>
              <w:t>Jun 2031</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Oversight board</w:t>
            </w:r>
          </w:p>
        </w:tc>
        <w:tc>
          <w:tcPr>
            <w:tcW w:type="dxa" w:w="1474"/>
            <w:shd w:val="clear" w:fill="EAF4EF"/>
          </w:tcPr>
          <w:p>
            <w:pPr>
              <w:spacing w:after="20" w:before="20"/>
            </w:pPr>
            <w:r/>
            <w:r>
              <w:rPr>
                <w:b w:val="0"/>
                <w:sz w:val="13"/>
              </w:rPr>
              <w:t>Staff</w:t>
            </w:r>
          </w:p>
        </w:tc>
      </w:tr>
      <w:tr>
        <w:trPr>
          <w:cantSplit/>
        </w:trPr>
        <w:tc>
          <w:tcPr>
            <w:tcW w:type="dxa" w:w="567"/>
          </w:tcPr>
          <w:p>
            <w:pPr>
              <w:spacing w:after="20" w:before="20"/>
            </w:pPr>
            <w:r/>
            <w:r>
              <w:rPr>
                <w:b/>
                <w:sz w:val="13"/>
              </w:rPr>
              <w:t>WP2 — Instrument science (SCT-2.0)</w:t>
            </w:r>
          </w:p>
        </w:tc>
        <w:tc>
          <w:tcPr>
            <w:tcW w:type="dxa" w:w="3572"/>
          </w:tcPr>
          <w:p>
            <w:pPr>
              <w:spacing w:after="20" w:before="20"/>
            </w:pPr>
            <w:r/>
            <w:r>
              <w:rPr>
                <w:b w:val="0"/>
                <w:sz w:val="13"/>
              </w:rPr>
            </w:r>
          </w:p>
        </w:tc>
        <w:tc>
          <w:tcPr>
            <w:tcW w:type="dxa" w:w="794"/>
          </w:tcPr>
          <w:p>
            <w:pPr>
              <w:spacing w:after="20" w:before="20"/>
            </w:pPr>
            <w:r/>
            <w:r>
              <w:rPr>
                <w:b w:val="0"/>
                <w:sz w:val="13"/>
              </w:rPr>
            </w:r>
          </w:p>
        </w:tc>
        <w:tc>
          <w:tcPr>
            <w:tcW w:type="dxa" w:w="794"/>
          </w:tcPr>
          <w:p>
            <w:pPr>
              <w:spacing w:after="20" w:before="20"/>
            </w:pPr>
            <w:r/>
            <w:r>
              <w:rPr>
                <w:b w:val="0"/>
                <w:sz w:val="13"/>
              </w:rPr>
            </w:r>
          </w:p>
        </w:tc>
        <w:tc>
          <w:tcPr>
            <w:tcW w:type="dxa" w:w="964"/>
          </w:tcPr>
          <w:p>
            <w:pPr>
              <w:spacing w:after="20" w:before="20"/>
            </w:pPr>
            <w:r/>
            <w:r>
              <w:rPr>
                <w:b w:val="0"/>
                <w:sz w:val="13"/>
              </w:rPr>
            </w:r>
          </w:p>
        </w:tc>
        <w:tc>
          <w:tcPr>
            <w:tcW w:type="dxa" w:w="1474"/>
          </w:tcPr>
          <w:p>
            <w:pPr>
              <w:spacing w:after="20" w:before="20"/>
            </w:pPr>
            <w:r/>
            <w:r>
              <w:rPr>
                <w:b w:val="0"/>
                <w:sz w:val="13"/>
              </w:rPr>
            </w:r>
          </w:p>
        </w:tc>
        <w:tc>
          <w:tcPr>
            <w:tcW w:type="dxa" w:w="1474"/>
          </w:tcPr>
          <w:p>
            <w:pPr>
              <w:spacing w:after="20" w:before="20"/>
            </w:pPr>
            <w:r/>
            <w:r>
              <w:rPr>
                <w:b w:val="0"/>
                <w:sz w:val="13"/>
              </w:rPr>
            </w:r>
          </w:p>
        </w:tc>
      </w:tr>
      <w:tr>
        <w:trPr>
          <w:cantSplit/>
        </w:trPr>
        <w:tc>
          <w:tcPr>
            <w:tcW w:type="dxa" w:w="567"/>
            <w:shd w:val="clear" w:fill="EAF4EF"/>
          </w:tcPr>
          <w:p>
            <w:pPr>
              <w:spacing w:after="20" w:before="20"/>
            </w:pPr>
            <w:r/>
            <w:r>
              <w:rPr>
                <w:b w:val="0"/>
                <w:sz w:val="13"/>
              </w:rPr>
              <w:t>2.1</w:t>
            </w:r>
          </w:p>
        </w:tc>
        <w:tc>
          <w:tcPr>
            <w:tcW w:type="dxa" w:w="3572"/>
            <w:shd w:val="clear" w:fill="EAF4EF"/>
          </w:tcPr>
          <w:p>
            <w:pPr>
              <w:spacing w:after="20" w:before="20"/>
            </w:pPr>
            <w:r/>
            <w:r>
              <w:rPr>
                <w:b w:val="0"/>
                <w:sz w:val="13"/>
              </w:rPr>
              <w:t>SCT-2.0 item bank refresh: 120 → 360 items incl. reverse-keyed forms</w:t>
            </w:r>
          </w:p>
        </w:tc>
        <w:tc>
          <w:tcPr>
            <w:tcW w:type="dxa" w:w="794"/>
            <w:shd w:val="clear" w:fill="EAF4EF"/>
          </w:tcPr>
          <w:p>
            <w:pPr>
              <w:spacing w:after="20" w:before="20"/>
            </w:pPr>
            <w:r/>
            <w:r>
              <w:rPr>
                <w:b w:val="0"/>
                <w:sz w:val="13"/>
              </w:rPr>
              <w:t>Oct 2026</w:t>
            </w:r>
          </w:p>
        </w:tc>
        <w:tc>
          <w:tcPr>
            <w:tcW w:type="dxa" w:w="794"/>
            <w:shd w:val="clear" w:fill="EAF4EF"/>
          </w:tcPr>
          <w:p>
            <w:pPr>
              <w:spacing w:after="20" w:before="20"/>
            </w:pPr>
            <w:r/>
            <w:r>
              <w:rPr>
                <w:b w:val="0"/>
                <w:sz w:val="13"/>
              </w:rPr>
              <w:t>Jun 2027</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Instrument team</w:t>
            </w:r>
          </w:p>
        </w:tc>
        <w:tc>
          <w:tcPr>
            <w:tcW w:type="dxa" w:w="1474"/>
            <w:shd w:val="clear" w:fill="EAF4EF"/>
          </w:tcPr>
          <w:p>
            <w:pPr>
              <w:spacing w:after="20" w:before="20"/>
            </w:pPr>
            <w:r/>
            <w:r>
              <w:rPr>
                <w:b w:val="0"/>
                <w:sz w:val="13"/>
              </w:rPr>
              <w:t>Staff + €12k item writing</w:t>
            </w:r>
          </w:p>
        </w:tc>
      </w:tr>
      <w:tr>
        <w:trPr>
          <w:cantSplit/>
        </w:trPr>
        <w:tc>
          <w:tcPr>
            <w:tcW w:type="dxa" w:w="567"/>
          </w:tcPr>
          <w:p>
            <w:pPr>
              <w:spacing w:after="20" w:before="20"/>
            </w:pPr>
            <w:r/>
            <w:r>
              <w:rPr>
                <w:b w:val="0"/>
                <w:sz w:val="13"/>
              </w:rPr>
              <w:t>2.2</w:t>
            </w:r>
          </w:p>
        </w:tc>
        <w:tc>
          <w:tcPr>
            <w:tcW w:type="dxa" w:w="3572"/>
          </w:tcPr>
          <w:p>
            <w:pPr>
              <w:spacing w:after="20" w:before="20"/>
            </w:pPr>
            <w:r/>
            <w:r>
              <w:rPr>
                <w:b w:val="0"/>
                <w:sz w:val="13"/>
              </w:rPr>
              <w:t>Expert content-validity panels (10 axis panels; structured Delphi)</w:t>
            </w:r>
          </w:p>
        </w:tc>
        <w:tc>
          <w:tcPr>
            <w:tcW w:type="dxa" w:w="794"/>
          </w:tcPr>
          <w:p>
            <w:pPr>
              <w:spacing w:after="20" w:before="20"/>
            </w:pPr>
            <w:r/>
            <w:r>
              <w:rPr>
                <w:b w:val="0"/>
                <w:sz w:val="13"/>
              </w:rPr>
              <w:t>Feb 2027</w:t>
            </w:r>
          </w:p>
        </w:tc>
        <w:tc>
          <w:tcPr>
            <w:tcW w:type="dxa" w:w="794"/>
          </w:tcPr>
          <w:p>
            <w:pPr>
              <w:spacing w:after="20" w:before="20"/>
            </w:pPr>
            <w:r/>
            <w:r>
              <w:rPr>
                <w:b w:val="0"/>
                <w:sz w:val="13"/>
              </w:rPr>
              <w:t>Sep 2027</w:t>
            </w:r>
          </w:p>
        </w:tc>
        <w:tc>
          <w:tcPr>
            <w:tcW w:type="dxa" w:w="964"/>
          </w:tcPr>
          <w:p>
            <w:pPr>
              <w:spacing w:after="20" w:before="20"/>
            </w:pPr>
            <w:r/>
            <w:r>
              <w:rPr>
                <w:b w:val="0"/>
                <w:sz w:val="13"/>
              </w:rPr>
              <w:t>Planned</w:t>
            </w:r>
          </w:p>
        </w:tc>
        <w:tc>
          <w:tcPr>
            <w:tcW w:type="dxa" w:w="1474"/>
          </w:tcPr>
          <w:p>
            <w:pPr>
              <w:spacing w:after="20" w:before="20"/>
            </w:pPr>
            <w:r/>
            <w:r>
              <w:rPr>
                <w:b w:val="0"/>
                <w:sz w:val="13"/>
              </w:rPr>
              <w:t>Instrument team</w:t>
            </w:r>
          </w:p>
        </w:tc>
        <w:tc>
          <w:tcPr>
            <w:tcW w:type="dxa" w:w="1474"/>
          </w:tcPr>
          <w:p>
            <w:pPr>
              <w:spacing w:after="20" w:before="20"/>
            </w:pPr>
            <w:r/>
            <w:r>
              <w:rPr>
                <w:b w:val="0"/>
                <w:sz w:val="13"/>
              </w:rPr>
              <w:t>€300/panelist/session</w:t>
            </w:r>
          </w:p>
        </w:tc>
      </w:tr>
      <w:tr>
        <w:trPr>
          <w:cantSplit/>
        </w:trPr>
        <w:tc>
          <w:tcPr>
            <w:tcW w:type="dxa" w:w="567"/>
            <w:shd w:val="clear" w:fill="EAF4EF"/>
          </w:tcPr>
          <w:p>
            <w:pPr>
              <w:spacing w:after="20" w:before="20"/>
            </w:pPr>
            <w:r/>
            <w:r>
              <w:rPr>
                <w:b w:val="0"/>
                <w:sz w:val="13"/>
              </w:rPr>
              <w:t>2.3</w:t>
            </w:r>
          </w:p>
        </w:tc>
        <w:tc>
          <w:tcPr>
            <w:tcW w:type="dxa" w:w="3572"/>
            <w:shd w:val="clear" w:fill="EAF4EF"/>
          </w:tcPr>
          <w:p>
            <w:pPr>
              <w:spacing w:after="20" w:before="20"/>
            </w:pPr>
            <w:r/>
            <w:r>
              <w:rPr>
                <w:b w:val="0"/>
                <w:sz w:val="13"/>
              </w:rPr>
              <w:t>N ≥ 20 runs per item across ≥ 6 model families; blinded scoring</w:t>
            </w:r>
          </w:p>
        </w:tc>
        <w:tc>
          <w:tcPr>
            <w:tcW w:type="dxa" w:w="794"/>
            <w:shd w:val="clear" w:fill="EAF4EF"/>
          </w:tcPr>
          <w:p>
            <w:pPr>
              <w:spacing w:after="20" w:before="20"/>
            </w:pPr>
            <w:r/>
            <w:r>
              <w:rPr>
                <w:b w:val="0"/>
                <w:sz w:val="13"/>
              </w:rPr>
              <w:t>Jun 2027</w:t>
            </w:r>
          </w:p>
        </w:tc>
        <w:tc>
          <w:tcPr>
            <w:tcW w:type="dxa" w:w="794"/>
            <w:shd w:val="clear" w:fill="EAF4EF"/>
          </w:tcPr>
          <w:p>
            <w:pPr>
              <w:spacing w:after="20" w:before="20"/>
            </w:pPr>
            <w:r/>
            <w:r>
              <w:rPr>
                <w:b w:val="0"/>
                <w:sz w:val="13"/>
              </w:rPr>
              <w:t>Jun 2028</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Data-collection team</w:t>
            </w:r>
          </w:p>
        </w:tc>
        <w:tc>
          <w:tcPr>
            <w:tcW w:type="dxa" w:w="1474"/>
            <w:shd w:val="clear" w:fill="EAF4EF"/>
          </w:tcPr>
          <w:p>
            <w:pPr>
              <w:spacing w:after="20" w:before="20"/>
            </w:pPr>
            <w:r/>
            <w:r>
              <w:rPr>
                <w:b w:val="0"/>
                <w:sz w:val="13"/>
              </w:rPr>
              <w:t>Inference + annotation centre</w:t>
            </w:r>
          </w:p>
        </w:tc>
      </w:tr>
      <w:tr>
        <w:trPr>
          <w:cantSplit/>
        </w:trPr>
        <w:tc>
          <w:tcPr>
            <w:tcW w:type="dxa" w:w="567"/>
          </w:tcPr>
          <w:p>
            <w:pPr>
              <w:spacing w:after="20" w:before="20"/>
            </w:pPr>
            <w:r/>
            <w:r>
              <w:rPr>
                <w:b w:val="0"/>
                <w:sz w:val="13"/>
              </w:rPr>
              <w:t>2.4</w:t>
            </w:r>
          </w:p>
        </w:tc>
        <w:tc>
          <w:tcPr>
            <w:tcW w:type="dxa" w:w="3572"/>
          </w:tcPr>
          <w:p>
            <w:pPr>
              <w:spacing w:after="20" w:before="20"/>
            </w:pPr>
            <w:r/>
            <w:r>
              <w:rPr>
                <w:b w:val="0"/>
                <w:sz w:val="13"/>
              </w:rPr>
              <w:t>Inter-rater reliability study (3 independent scoring teams, ≥ 20% sample)</w:t>
            </w:r>
          </w:p>
        </w:tc>
        <w:tc>
          <w:tcPr>
            <w:tcW w:type="dxa" w:w="794"/>
          </w:tcPr>
          <w:p>
            <w:pPr>
              <w:spacing w:after="20" w:before="20"/>
            </w:pPr>
            <w:r/>
            <w:r>
              <w:rPr>
                <w:b w:val="0"/>
                <w:sz w:val="13"/>
              </w:rPr>
              <w:t>Sep 2027</w:t>
            </w:r>
          </w:p>
        </w:tc>
        <w:tc>
          <w:tcPr>
            <w:tcW w:type="dxa" w:w="794"/>
          </w:tcPr>
          <w:p>
            <w:pPr>
              <w:spacing w:after="20" w:before="20"/>
            </w:pPr>
            <w:r/>
            <w:r>
              <w:rPr>
                <w:b w:val="0"/>
                <w:sz w:val="13"/>
              </w:rPr>
              <w:t>Mar 2028</w:t>
            </w:r>
          </w:p>
        </w:tc>
        <w:tc>
          <w:tcPr>
            <w:tcW w:type="dxa" w:w="964"/>
          </w:tcPr>
          <w:p>
            <w:pPr>
              <w:spacing w:after="20" w:before="20"/>
            </w:pPr>
            <w:r/>
            <w:r>
              <w:rPr>
                <w:b w:val="0"/>
                <w:sz w:val="13"/>
              </w:rPr>
              <w:t>Planned</w:t>
            </w:r>
          </w:p>
        </w:tc>
        <w:tc>
          <w:tcPr>
            <w:tcW w:type="dxa" w:w="1474"/>
          </w:tcPr>
          <w:p>
            <w:pPr>
              <w:spacing w:after="20" w:before="20"/>
            </w:pPr>
            <w:r/>
            <w:r>
              <w:rPr>
                <w:b w:val="0"/>
                <w:sz w:val="13"/>
              </w:rPr>
              <w:t>Statistician</w:t>
            </w:r>
          </w:p>
        </w:tc>
        <w:tc>
          <w:tcPr>
            <w:tcW w:type="dxa" w:w="1474"/>
          </w:tcPr>
          <w:p>
            <w:pPr>
              <w:spacing w:after="20" w:before="20"/>
            </w:pPr>
            <w:r/>
            <w:r>
              <w:rPr>
                <w:b w:val="0"/>
                <w:sz w:val="13"/>
              </w:rPr>
              <w:t>Staff + annotators</w:t>
            </w:r>
          </w:p>
        </w:tc>
      </w:tr>
      <w:tr>
        <w:trPr>
          <w:cantSplit/>
        </w:trPr>
        <w:tc>
          <w:tcPr>
            <w:tcW w:type="dxa" w:w="567"/>
            <w:shd w:val="clear" w:fill="EAF4EF"/>
          </w:tcPr>
          <w:p>
            <w:pPr>
              <w:spacing w:after="20" w:before="20"/>
            </w:pPr>
            <w:r/>
            <w:r>
              <w:rPr>
                <w:b w:val="0"/>
                <w:sz w:val="13"/>
              </w:rPr>
              <w:t>2.5</w:t>
            </w:r>
          </w:p>
        </w:tc>
        <w:tc>
          <w:tcPr>
            <w:tcW w:type="dxa" w:w="3572"/>
            <w:shd w:val="clear" w:fill="EAF4EF"/>
          </w:tcPr>
          <w:p>
            <w:pPr>
              <w:spacing w:after="20" w:before="20"/>
            </w:pPr>
            <w:r/>
            <w:r>
              <w:rPr>
                <w:b w:val="0"/>
                <w:sz w:val="13"/>
              </w:rPr>
              <w:t>Psychometrics: IRT, CFA on 10 axes, invariance across language &amp; harness</w:t>
            </w:r>
          </w:p>
        </w:tc>
        <w:tc>
          <w:tcPr>
            <w:tcW w:type="dxa" w:w="794"/>
            <w:shd w:val="clear" w:fill="EAF4EF"/>
          </w:tcPr>
          <w:p>
            <w:pPr>
              <w:spacing w:after="20" w:before="20"/>
            </w:pPr>
            <w:r/>
            <w:r>
              <w:rPr>
                <w:b w:val="0"/>
                <w:sz w:val="13"/>
              </w:rPr>
              <w:t>Jan 2028</w:t>
            </w:r>
          </w:p>
        </w:tc>
        <w:tc>
          <w:tcPr>
            <w:tcW w:type="dxa" w:w="794"/>
            <w:shd w:val="clear" w:fill="EAF4EF"/>
          </w:tcPr>
          <w:p>
            <w:pPr>
              <w:spacing w:after="20" w:before="20"/>
            </w:pPr>
            <w:r/>
            <w:r>
              <w:rPr>
                <w:b w:val="0"/>
                <w:sz w:val="13"/>
              </w:rPr>
              <w:t>Dec 2028</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Postdoc 2 + statistician</w:t>
            </w:r>
          </w:p>
        </w:tc>
        <w:tc>
          <w:tcPr>
            <w:tcW w:type="dxa" w:w="1474"/>
            <w:shd w:val="clear" w:fill="EAF4EF"/>
          </w:tcPr>
          <w:p>
            <w:pPr>
              <w:spacing w:after="20" w:before="20"/>
            </w:pPr>
            <w:r/>
            <w:r>
              <w:rPr>
                <w:b w:val="0"/>
                <w:sz w:val="13"/>
              </w:rPr>
              <w:t>Staff</w:t>
            </w:r>
          </w:p>
        </w:tc>
      </w:tr>
      <w:tr>
        <w:trPr>
          <w:cantSplit/>
        </w:trPr>
        <w:tc>
          <w:tcPr>
            <w:tcW w:type="dxa" w:w="567"/>
          </w:tcPr>
          <w:p>
            <w:pPr>
              <w:spacing w:after="20" w:before="20"/>
            </w:pPr>
            <w:r/>
            <w:r>
              <w:rPr>
                <w:b w:val="0"/>
                <w:sz w:val="13"/>
              </w:rPr>
              <w:t>2.6</w:t>
            </w:r>
          </w:p>
        </w:tc>
        <w:tc>
          <w:tcPr>
            <w:tcW w:type="dxa" w:w="3572"/>
          </w:tcPr>
          <w:p>
            <w:pPr>
              <w:spacing w:after="20" w:before="20"/>
            </w:pPr>
            <w:r/>
            <w:r>
              <w:rPr>
                <w:b w:val="0"/>
                <w:sz w:val="13"/>
              </w:rPr>
              <w:t>Test-retest and parallel-form reliability across checkpoints</w:t>
            </w:r>
          </w:p>
        </w:tc>
        <w:tc>
          <w:tcPr>
            <w:tcW w:type="dxa" w:w="794"/>
          </w:tcPr>
          <w:p>
            <w:pPr>
              <w:spacing w:after="20" w:before="20"/>
            </w:pPr>
            <w:r/>
            <w:r>
              <w:rPr>
                <w:b w:val="0"/>
                <w:sz w:val="13"/>
              </w:rPr>
              <w:t>Apr 2028</w:t>
            </w:r>
          </w:p>
        </w:tc>
        <w:tc>
          <w:tcPr>
            <w:tcW w:type="dxa" w:w="794"/>
          </w:tcPr>
          <w:p>
            <w:pPr>
              <w:spacing w:after="20" w:before="20"/>
            </w:pPr>
            <w:r/>
            <w:r>
              <w:rPr>
                <w:b w:val="0"/>
                <w:sz w:val="13"/>
              </w:rPr>
              <w:t>Mar 2029</w:t>
            </w:r>
          </w:p>
        </w:tc>
        <w:tc>
          <w:tcPr>
            <w:tcW w:type="dxa" w:w="964"/>
          </w:tcPr>
          <w:p>
            <w:pPr>
              <w:spacing w:after="20" w:before="20"/>
            </w:pPr>
            <w:r/>
            <w:r>
              <w:rPr>
                <w:b w:val="0"/>
                <w:sz w:val="13"/>
              </w:rPr>
              <w:t>Planned</w:t>
            </w:r>
          </w:p>
        </w:tc>
        <w:tc>
          <w:tcPr>
            <w:tcW w:type="dxa" w:w="1474"/>
          </w:tcPr>
          <w:p>
            <w:pPr>
              <w:spacing w:after="20" w:before="20"/>
            </w:pPr>
            <w:r/>
            <w:r>
              <w:rPr>
                <w:b w:val="0"/>
                <w:sz w:val="13"/>
              </w:rPr>
              <w:t>Data-collection team</w:t>
            </w:r>
          </w:p>
        </w:tc>
        <w:tc>
          <w:tcPr>
            <w:tcW w:type="dxa" w:w="1474"/>
          </w:tcPr>
          <w:p>
            <w:pPr>
              <w:spacing w:after="20" w:before="20"/>
            </w:pPr>
            <w:r/>
            <w:r>
              <w:rPr>
                <w:b w:val="0"/>
                <w:sz w:val="13"/>
              </w:rPr>
              <w:t>Inference</w:t>
            </w:r>
          </w:p>
        </w:tc>
      </w:tr>
      <w:tr>
        <w:trPr>
          <w:cantSplit/>
        </w:trPr>
        <w:tc>
          <w:tcPr>
            <w:tcW w:type="dxa" w:w="567"/>
            <w:shd w:val="clear" w:fill="EAF4EF"/>
          </w:tcPr>
          <w:p>
            <w:pPr>
              <w:spacing w:after="20" w:before="20"/>
            </w:pPr>
            <w:r/>
            <w:r>
              <w:rPr>
                <w:b w:val="0"/>
                <w:sz w:val="13"/>
              </w:rPr>
              <w:t>2.7</w:t>
            </w:r>
          </w:p>
        </w:tc>
        <w:tc>
          <w:tcPr>
            <w:tcW w:type="dxa" w:w="3572"/>
            <w:shd w:val="clear" w:fill="EAF4EF"/>
          </w:tcPr>
          <w:p>
            <w:pPr>
              <w:spacing w:after="20" w:before="20"/>
            </w:pPr>
            <w:r/>
            <w:r>
              <w:rPr>
                <w:b w:val="0"/>
                <w:sz w:val="13"/>
              </w:rPr>
              <w:t>SCT-2.0 release: published bank, scoring kit, calibration tables</w:t>
            </w:r>
          </w:p>
        </w:tc>
        <w:tc>
          <w:tcPr>
            <w:tcW w:type="dxa" w:w="794"/>
            <w:shd w:val="clear" w:fill="EAF4EF"/>
          </w:tcPr>
          <w:p>
            <w:pPr>
              <w:spacing w:after="20" w:before="20"/>
            </w:pPr>
            <w:r/>
            <w:r>
              <w:rPr>
                <w:b w:val="0"/>
                <w:sz w:val="13"/>
              </w:rPr>
              <w:t>Jan 2029</w:t>
            </w:r>
          </w:p>
        </w:tc>
        <w:tc>
          <w:tcPr>
            <w:tcW w:type="dxa" w:w="794"/>
            <w:shd w:val="clear" w:fill="EAF4EF"/>
          </w:tcPr>
          <w:p>
            <w:pPr>
              <w:spacing w:after="20" w:before="20"/>
            </w:pPr>
            <w:r/>
            <w:r>
              <w:rPr>
                <w:b w:val="0"/>
                <w:sz w:val="13"/>
              </w:rPr>
              <w:t>Jun 2029</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Instrument team</w:t>
            </w:r>
          </w:p>
        </w:tc>
        <w:tc>
          <w:tcPr>
            <w:tcW w:type="dxa" w:w="1474"/>
            <w:shd w:val="clear" w:fill="EAF4EF"/>
          </w:tcPr>
          <w:p>
            <w:pPr>
              <w:spacing w:after="20" w:before="20"/>
            </w:pPr>
            <w:r/>
            <w:r>
              <w:rPr>
                <w:b w:val="0"/>
                <w:sz w:val="13"/>
              </w:rPr>
              <w:t>Staff</w:t>
            </w:r>
          </w:p>
        </w:tc>
      </w:tr>
      <w:tr>
        <w:trPr>
          <w:cantSplit/>
        </w:trPr>
        <w:tc>
          <w:tcPr>
            <w:tcW w:type="dxa" w:w="567"/>
          </w:tcPr>
          <w:p>
            <w:pPr>
              <w:spacing w:after="20" w:before="20"/>
            </w:pPr>
            <w:r/>
            <w:r>
              <w:rPr>
                <w:b w:val="0"/>
                <w:sz w:val="13"/>
              </w:rPr>
              <w:t>2.8</w:t>
            </w:r>
          </w:p>
        </w:tc>
        <w:tc>
          <w:tcPr>
            <w:tcW w:type="dxa" w:w="3572"/>
          </w:tcPr>
          <w:p>
            <w:pPr>
              <w:spacing w:after="20" w:before="20"/>
            </w:pPr>
            <w:r/>
            <w:r>
              <w:rPr>
                <w:b w:val="0"/>
                <w:sz w:val="13"/>
              </w:rPr>
              <w:t>Reasoning-trace faithfulness module (group H): hint-insertion and shortcut-availability tasks scored for verbalisation, with a monitored-versus-unmonitored trace comparison</w:t>
            </w:r>
          </w:p>
        </w:tc>
        <w:tc>
          <w:tcPr>
            <w:tcW w:type="dxa" w:w="794"/>
          </w:tcPr>
          <w:p>
            <w:pPr>
              <w:spacing w:after="20" w:before="20"/>
            </w:pPr>
            <w:r/>
            <w:r>
              <w:rPr>
                <w:b w:val="0"/>
                <w:sz w:val="13"/>
              </w:rPr>
              <w:t>Jan 2028</w:t>
            </w:r>
          </w:p>
        </w:tc>
        <w:tc>
          <w:tcPr>
            <w:tcW w:type="dxa" w:w="794"/>
          </w:tcPr>
          <w:p>
            <w:pPr>
              <w:spacing w:after="20" w:before="20"/>
            </w:pPr>
            <w:r/>
            <w:r>
              <w:rPr>
                <w:b w:val="0"/>
                <w:sz w:val="13"/>
              </w:rPr>
              <w:t>Dec 2028</w:t>
            </w:r>
          </w:p>
        </w:tc>
        <w:tc>
          <w:tcPr>
            <w:tcW w:type="dxa" w:w="964"/>
          </w:tcPr>
          <w:p>
            <w:pPr>
              <w:spacing w:after="20" w:before="20"/>
            </w:pPr>
            <w:r/>
            <w:r>
              <w:rPr>
                <w:b w:val="0"/>
                <w:sz w:val="13"/>
              </w:rPr>
              <w:t>Planned (v1.1)</w:t>
            </w:r>
          </w:p>
        </w:tc>
        <w:tc>
          <w:tcPr>
            <w:tcW w:type="dxa" w:w="1474"/>
          </w:tcPr>
          <w:p>
            <w:pPr>
              <w:spacing w:after="20" w:before="20"/>
            </w:pPr>
            <w:r/>
            <w:r>
              <w:rPr>
                <w:b w:val="0"/>
                <w:sz w:val="13"/>
              </w:rPr>
              <w:t>Instrument team + statistician</w:t>
            </w:r>
          </w:p>
        </w:tc>
        <w:tc>
          <w:tcPr>
            <w:tcW w:type="dxa" w:w="1474"/>
          </w:tcPr>
          <w:p>
            <w:pPr>
              <w:spacing w:after="20" w:before="20"/>
            </w:pPr>
            <w:r/>
            <w:r>
              <w:rPr>
                <w:b w:val="0"/>
                <w:sz w:val="13"/>
              </w:rPr>
              <w:t>Inference — inside the WP2 share</w:t>
            </w:r>
          </w:p>
        </w:tc>
      </w:tr>
      <w:tr>
        <w:trPr>
          <w:cantSplit/>
        </w:trPr>
        <w:tc>
          <w:tcPr>
            <w:tcW w:type="dxa" w:w="567"/>
            <w:shd w:val="clear" w:fill="EAF4EF"/>
          </w:tcPr>
          <w:p>
            <w:pPr>
              <w:spacing w:after="20" w:before="20"/>
            </w:pPr>
            <w:r/>
            <w:r>
              <w:rPr>
                <w:b/>
                <w:sz w:val="13"/>
              </w:rPr>
              <w:t>WP3 — Trait taxonomy</w:t>
            </w:r>
          </w:p>
        </w:tc>
        <w:tc>
          <w:tcPr>
            <w:tcW w:type="dxa" w:w="3572"/>
            <w:shd w:val="clear" w:fill="EAF4EF"/>
          </w:tcPr>
          <w:p>
            <w:pPr>
              <w:spacing w:after="20" w:before="20"/>
            </w:pPr>
            <w:r/>
            <w:r>
              <w:rPr>
                <w:b w:val="0"/>
                <w:sz w:val="13"/>
              </w:rPr>
            </w:r>
          </w:p>
        </w:tc>
        <w:tc>
          <w:tcPr>
            <w:tcW w:type="dxa" w:w="794"/>
            <w:shd w:val="clear" w:fill="EAF4EF"/>
          </w:tcPr>
          <w:p>
            <w:pPr>
              <w:spacing w:after="20" w:before="20"/>
            </w:pPr>
            <w:r/>
            <w:r>
              <w:rPr>
                <w:b w:val="0"/>
                <w:sz w:val="13"/>
              </w:rPr>
            </w:r>
          </w:p>
        </w:tc>
        <w:tc>
          <w:tcPr>
            <w:tcW w:type="dxa" w:w="794"/>
            <w:shd w:val="clear" w:fill="EAF4EF"/>
          </w:tcPr>
          <w:p>
            <w:pPr>
              <w:spacing w:after="20" w:before="20"/>
            </w:pPr>
            <w:r/>
            <w:r>
              <w:rPr>
                <w:b w:val="0"/>
                <w:sz w:val="13"/>
              </w:rPr>
            </w:r>
          </w:p>
        </w:tc>
        <w:tc>
          <w:tcPr>
            <w:tcW w:type="dxa" w:w="964"/>
            <w:shd w:val="clear" w:fill="EAF4EF"/>
          </w:tcPr>
          <w:p>
            <w:pPr>
              <w:spacing w:after="20" w:before="20"/>
            </w:pPr>
            <w:r/>
            <w:r>
              <w:rPr>
                <w:b w:val="0"/>
                <w:sz w:val="13"/>
              </w:rPr>
            </w:r>
          </w:p>
        </w:tc>
        <w:tc>
          <w:tcPr>
            <w:tcW w:type="dxa" w:w="1474"/>
            <w:shd w:val="clear" w:fill="EAF4EF"/>
          </w:tcPr>
          <w:p>
            <w:pPr>
              <w:spacing w:after="20" w:before="20"/>
            </w:pPr>
            <w:r/>
            <w:r>
              <w:rPr>
                <w:b w:val="0"/>
                <w:sz w:val="13"/>
              </w:rPr>
            </w:r>
          </w:p>
        </w:tc>
        <w:tc>
          <w:tcPr>
            <w:tcW w:type="dxa" w:w="1474"/>
            <w:shd w:val="clear" w:fill="EAF4EF"/>
          </w:tcPr>
          <w:p>
            <w:pPr>
              <w:spacing w:after="20" w:before="20"/>
            </w:pPr>
            <w:r/>
            <w:r>
              <w:rPr>
                <w:b w:val="0"/>
                <w:sz w:val="13"/>
              </w:rPr>
            </w:r>
          </w:p>
        </w:tc>
      </w:tr>
      <w:tr>
        <w:trPr>
          <w:cantSplit/>
        </w:trPr>
        <w:tc>
          <w:tcPr>
            <w:tcW w:type="dxa" w:w="567"/>
          </w:tcPr>
          <w:p>
            <w:pPr>
              <w:spacing w:after="20" w:before="20"/>
            </w:pPr>
            <w:r/>
            <w:r>
              <w:rPr>
                <w:b w:val="0"/>
                <w:sz w:val="13"/>
              </w:rPr>
              <w:t>3.1</w:t>
            </w:r>
          </w:p>
        </w:tc>
        <w:tc>
          <w:tcPr>
            <w:tcW w:type="dxa" w:w="3572"/>
          </w:tcPr>
          <w:p>
            <w:pPr>
              <w:spacing w:after="20" w:before="20"/>
            </w:pPr>
            <w:r/>
            <w:r>
              <w:rPr>
                <w:b w:val="0"/>
                <w:sz w:val="13"/>
              </w:rPr>
              <w:t>Differential batteries for the 46 priority entries (discriminating probes per pair)</w:t>
            </w:r>
          </w:p>
        </w:tc>
        <w:tc>
          <w:tcPr>
            <w:tcW w:type="dxa" w:w="794"/>
          </w:tcPr>
          <w:p>
            <w:pPr>
              <w:spacing w:after="20" w:before="20"/>
            </w:pPr>
            <w:r/>
            <w:r>
              <w:rPr>
                <w:b w:val="0"/>
                <w:sz w:val="13"/>
              </w:rPr>
              <w:t>Jan 2027</w:t>
            </w:r>
          </w:p>
        </w:tc>
        <w:tc>
          <w:tcPr>
            <w:tcW w:type="dxa" w:w="794"/>
          </w:tcPr>
          <w:p>
            <w:pPr>
              <w:spacing w:after="20" w:before="20"/>
            </w:pPr>
            <w:r/>
            <w:r>
              <w:rPr>
                <w:b w:val="0"/>
                <w:sz w:val="13"/>
              </w:rPr>
              <w:t>Dec 2027</w:t>
            </w:r>
          </w:p>
        </w:tc>
        <w:tc>
          <w:tcPr>
            <w:tcW w:type="dxa" w:w="964"/>
          </w:tcPr>
          <w:p>
            <w:pPr>
              <w:spacing w:after="20" w:before="20"/>
            </w:pPr>
            <w:r/>
            <w:r>
              <w:rPr>
                <w:b w:val="0"/>
                <w:sz w:val="13"/>
              </w:rPr>
              <w:t>Planned</w:t>
            </w:r>
          </w:p>
        </w:tc>
        <w:tc>
          <w:tcPr>
            <w:tcW w:type="dxa" w:w="1474"/>
          </w:tcPr>
          <w:p>
            <w:pPr>
              <w:spacing w:after="20" w:before="20"/>
            </w:pPr>
            <w:r/>
            <w:r>
              <w:rPr>
                <w:b w:val="0"/>
                <w:sz w:val="13"/>
              </w:rPr>
              <w:t>Trait team</w:t>
            </w:r>
          </w:p>
        </w:tc>
        <w:tc>
          <w:tcPr>
            <w:tcW w:type="dxa" w:w="1474"/>
          </w:tcPr>
          <w:p>
            <w:pPr>
              <w:spacing w:after="20" w:before="20"/>
            </w:pPr>
            <w:r/>
            <w:r>
              <w:rPr>
                <w:b w:val="0"/>
                <w:sz w:val="13"/>
              </w:rPr>
              <w:t>Staff</w:t>
            </w:r>
          </w:p>
        </w:tc>
      </w:tr>
      <w:tr>
        <w:trPr>
          <w:cantSplit/>
        </w:trPr>
        <w:tc>
          <w:tcPr>
            <w:tcW w:type="dxa" w:w="567"/>
            <w:shd w:val="clear" w:fill="EAF4EF"/>
          </w:tcPr>
          <w:p>
            <w:pPr>
              <w:spacing w:after="20" w:before="20"/>
            </w:pPr>
            <w:r/>
            <w:r>
              <w:rPr>
                <w:b w:val="0"/>
                <w:sz w:val="13"/>
              </w:rPr>
              <w:t>3.2</w:t>
            </w:r>
          </w:p>
        </w:tc>
        <w:tc>
          <w:tcPr>
            <w:tcW w:type="dxa" w:w="3572"/>
            <w:shd w:val="clear" w:fill="EAF4EF"/>
          </w:tcPr>
          <w:p>
            <w:pPr>
              <w:spacing w:after="20" w:before="20"/>
            </w:pPr>
            <w:r/>
            <w:r>
              <w:rPr>
                <w:b w:val="0"/>
                <w:sz w:val="13"/>
              </w:rPr>
              <w:t>Multi-model factor studies: which entries survive empirical separation</w:t>
            </w:r>
          </w:p>
        </w:tc>
        <w:tc>
          <w:tcPr>
            <w:tcW w:type="dxa" w:w="794"/>
            <w:shd w:val="clear" w:fill="EAF4EF"/>
          </w:tcPr>
          <w:p>
            <w:pPr>
              <w:spacing w:after="20" w:before="20"/>
            </w:pPr>
            <w:r/>
            <w:r>
              <w:rPr>
                <w:b w:val="0"/>
                <w:sz w:val="13"/>
              </w:rPr>
              <w:t>Oct 2027</w:t>
            </w:r>
          </w:p>
        </w:tc>
        <w:tc>
          <w:tcPr>
            <w:tcW w:type="dxa" w:w="794"/>
            <w:shd w:val="clear" w:fill="EAF4EF"/>
          </w:tcPr>
          <w:p>
            <w:pPr>
              <w:spacing w:after="20" w:before="20"/>
            </w:pPr>
            <w:r/>
            <w:r>
              <w:rPr>
                <w:b w:val="0"/>
                <w:sz w:val="13"/>
              </w:rPr>
              <w:t>Sep 2028</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Postdoc 1 + statistician</w:t>
            </w:r>
          </w:p>
        </w:tc>
        <w:tc>
          <w:tcPr>
            <w:tcW w:type="dxa" w:w="1474"/>
            <w:shd w:val="clear" w:fill="EAF4EF"/>
          </w:tcPr>
          <w:p>
            <w:pPr>
              <w:spacing w:after="20" w:before="20"/>
            </w:pPr>
            <w:r/>
            <w:r>
              <w:rPr>
                <w:b w:val="0"/>
                <w:sz w:val="13"/>
              </w:rPr>
              <w:t>Inference + annotation</w:t>
            </w:r>
          </w:p>
        </w:tc>
      </w:tr>
      <w:tr>
        <w:trPr>
          <w:cantSplit/>
        </w:trPr>
        <w:tc>
          <w:tcPr>
            <w:tcW w:type="dxa" w:w="567"/>
          </w:tcPr>
          <w:p>
            <w:pPr>
              <w:spacing w:after="20" w:before="20"/>
            </w:pPr>
            <w:r/>
            <w:r>
              <w:rPr>
                <w:b w:val="0"/>
                <w:sz w:val="13"/>
              </w:rPr>
              <w:t>3.3</w:t>
            </w:r>
          </w:p>
        </w:tc>
        <w:tc>
          <w:tcPr>
            <w:tcW w:type="dxa" w:w="3572"/>
          </w:tcPr>
          <w:p>
            <w:pPr>
              <w:spacing w:after="20" w:before="20"/>
            </w:pPr>
            <w:r/>
            <w:r>
              <w:rPr>
                <w:b w:val="0"/>
                <w:sz w:val="13"/>
              </w:rPr>
              <w:t>Prevalence programme: trait base-rates across vendors and versions</w:t>
            </w:r>
          </w:p>
        </w:tc>
        <w:tc>
          <w:tcPr>
            <w:tcW w:type="dxa" w:w="794"/>
          </w:tcPr>
          <w:p>
            <w:pPr>
              <w:spacing w:after="20" w:before="20"/>
            </w:pPr>
            <w:r/>
            <w:r>
              <w:rPr>
                <w:b w:val="0"/>
                <w:sz w:val="13"/>
              </w:rPr>
              <w:t>Jan 2028</w:t>
            </w:r>
          </w:p>
        </w:tc>
        <w:tc>
          <w:tcPr>
            <w:tcW w:type="dxa" w:w="794"/>
          </w:tcPr>
          <w:p>
            <w:pPr>
              <w:spacing w:after="20" w:before="20"/>
            </w:pPr>
            <w:r/>
            <w:r>
              <w:rPr>
                <w:b w:val="0"/>
                <w:sz w:val="13"/>
              </w:rPr>
              <w:t>Dec 2028</w:t>
            </w:r>
          </w:p>
        </w:tc>
        <w:tc>
          <w:tcPr>
            <w:tcW w:type="dxa" w:w="964"/>
          </w:tcPr>
          <w:p>
            <w:pPr>
              <w:spacing w:after="20" w:before="20"/>
            </w:pPr>
            <w:r/>
            <w:r>
              <w:rPr>
                <w:b w:val="0"/>
                <w:sz w:val="13"/>
              </w:rPr>
              <w:t>Planned</w:t>
            </w:r>
          </w:p>
        </w:tc>
        <w:tc>
          <w:tcPr>
            <w:tcW w:type="dxa" w:w="1474"/>
          </w:tcPr>
          <w:p>
            <w:pPr>
              <w:spacing w:after="20" w:before="20"/>
            </w:pPr>
            <w:r/>
            <w:r>
              <w:rPr>
                <w:b w:val="0"/>
                <w:sz w:val="13"/>
              </w:rPr>
              <w:t>Trait team</w:t>
            </w:r>
          </w:p>
        </w:tc>
        <w:tc>
          <w:tcPr>
            <w:tcW w:type="dxa" w:w="1474"/>
          </w:tcPr>
          <w:p>
            <w:pPr>
              <w:spacing w:after="20" w:before="20"/>
            </w:pPr>
            <w:r/>
            <w:r>
              <w:rPr>
                <w:b w:val="0"/>
                <w:sz w:val="13"/>
              </w:rPr>
              <w:t>Inference</w:t>
            </w:r>
          </w:p>
        </w:tc>
      </w:tr>
      <w:tr>
        <w:trPr>
          <w:cantSplit/>
        </w:trPr>
        <w:tc>
          <w:tcPr>
            <w:tcW w:type="dxa" w:w="567"/>
            <w:shd w:val="clear" w:fill="EAF4EF"/>
          </w:tcPr>
          <w:p>
            <w:pPr>
              <w:spacing w:after="20" w:before="20"/>
            </w:pPr>
            <w:r/>
            <w:r>
              <w:rPr>
                <w:b w:val="0"/>
                <w:sz w:val="13"/>
              </w:rPr>
              <w:t>3.4</w:t>
            </w:r>
          </w:p>
        </w:tc>
        <w:tc>
          <w:tcPr>
            <w:tcW w:type="dxa" w:w="3572"/>
            <w:shd w:val="clear" w:fill="EAF4EF"/>
          </w:tcPr>
          <w:p>
            <w:pPr>
              <w:spacing w:after="20" w:before="20"/>
            </w:pPr>
            <w:r/>
            <w:r>
              <w:rPr>
                <w:b w:val="0"/>
                <w:sz w:val="13"/>
              </w:rPr>
              <w:t>Discovery probes: search for traits absent from the catalogue</w:t>
            </w:r>
          </w:p>
        </w:tc>
        <w:tc>
          <w:tcPr>
            <w:tcW w:type="dxa" w:w="794"/>
            <w:shd w:val="clear" w:fill="EAF4EF"/>
          </w:tcPr>
          <w:p>
            <w:pPr>
              <w:spacing w:after="20" w:before="20"/>
            </w:pPr>
            <w:r/>
            <w:r>
              <w:rPr>
                <w:b w:val="0"/>
                <w:sz w:val="13"/>
              </w:rPr>
              <w:t>Apr 2028</w:t>
            </w:r>
          </w:p>
        </w:tc>
        <w:tc>
          <w:tcPr>
            <w:tcW w:type="dxa" w:w="794"/>
            <w:shd w:val="clear" w:fill="EAF4EF"/>
          </w:tcPr>
          <w:p>
            <w:pPr>
              <w:spacing w:after="20" w:before="20"/>
            </w:pPr>
            <w:r/>
            <w:r>
              <w:rPr>
                <w:b w:val="0"/>
                <w:sz w:val="13"/>
              </w:rPr>
              <w:t>Mar 2029</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Trait team</w:t>
            </w:r>
          </w:p>
        </w:tc>
        <w:tc>
          <w:tcPr>
            <w:tcW w:type="dxa" w:w="1474"/>
            <w:shd w:val="clear" w:fill="EAF4EF"/>
          </w:tcPr>
          <w:p>
            <w:pPr>
              <w:spacing w:after="20" w:before="20"/>
            </w:pPr>
            <w:r/>
            <w:r>
              <w:rPr>
                <w:b w:val="0"/>
                <w:sz w:val="13"/>
              </w:rPr>
              <w:t>Inference + €25k adversarial bonuses</w:t>
            </w:r>
          </w:p>
        </w:tc>
      </w:tr>
      <w:tr>
        <w:trPr>
          <w:cantSplit/>
        </w:trPr>
        <w:tc>
          <w:tcPr>
            <w:tcW w:type="dxa" w:w="567"/>
          </w:tcPr>
          <w:p>
            <w:pPr>
              <w:spacing w:after="20" w:before="20"/>
            </w:pPr>
            <w:r/>
            <w:r>
              <w:rPr>
                <w:b w:val="0"/>
                <w:sz w:val="13"/>
              </w:rPr>
              <w:t>3.5</w:t>
            </w:r>
          </w:p>
        </w:tc>
        <w:tc>
          <w:tcPr>
            <w:tcW w:type="dxa" w:w="3572"/>
          </w:tcPr>
          <w:p>
            <w:pPr>
              <w:spacing w:after="20" w:before="20"/>
            </w:pPr>
            <w:r/>
            <w:r>
              <w:rPr>
                <w:b w:val="0"/>
                <w:sz w:val="13"/>
              </w:rPr>
              <w:t>Taxonomy v2: all 90 entries adjudicated; merged, retired and untested entries published with diffs and reasons</w:t>
            </w:r>
          </w:p>
        </w:tc>
        <w:tc>
          <w:tcPr>
            <w:tcW w:type="dxa" w:w="794"/>
          </w:tcPr>
          <w:p>
            <w:pPr>
              <w:spacing w:after="20" w:before="20"/>
            </w:pPr>
            <w:r/>
            <w:r>
              <w:rPr>
                <w:b w:val="0"/>
                <w:sz w:val="13"/>
              </w:rPr>
              <w:t>Apr 2029</w:t>
            </w:r>
          </w:p>
        </w:tc>
        <w:tc>
          <w:tcPr>
            <w:tcW w:type="dxa" w:w="794"/>
          </w:tcPr>
          <w:p>
            <w:pPr>
              <w:spacing w:after="20" w:before="20"/>
            </w:pPr>
            <w:r/>
            <w:r>
              <w:rPr>
                <w:b w:val="0"/>
                <w:sz w:val="13"/>
              </w:rPr>
              <w:t>Dec 2029</w:t>
            </w:r>
          </w:p>
        </w:tc>
        <w:tc>
          <w:tcPr>
            <w:tcW w:type="dxa" w:w="964"/>
          </w:tcPr>
          <w:p>
            <w:pPr>
              <w:spacing w:after="20" w:before="20"/>
            </w:pPr>
            <w:r/>
            <w:r>
              <w:rPr>
                <w:b w:val="0"/>
                <w:sz w:val="13"/>
              </w:rPr>
              <w:t>Planned</w:t>
            </w:r>
          </w:p>
        </w:tc>
        <w:tc>
          <w:tcPr>
            <w:tcW w:type="dxa" w:w="1474"/>
          </w:tcPr>
          <w:p>
            <w:pPr>
              <w:spacing w:after="20" w:before="20"/>
            </w:pPr>
            <w:r/>
            <w:r>
              <w:rPr>
                <w:b w:val="0"/>
                <w:sz w:val="13"/>
              </w:rPr>
              <w:t>Trait team + oversight</w:t>
            </w:r>
          </w:p>
        </w:tc>
        <w:tc>
          <w:tcPr>
            <w:tcW w:type="dxa" w:w="1474"/>
          </w:tcPr>
          <w:p>
            <w:pPr>
              <w:spacing w:after="20" w:before="20"/>
            </w:pPr>
            <w:r/>
            <w:r>
              <w:rPr>
                <w:b w:val="0"/>
                <w:sz w:val="13"/>
              </w:rPr>
              <w:t>Staff</w:t>
            </w:r>
          </w:p>
        </w:tc>
      </w:tr>
      <w:tr>
        <w:trPr>
          <w:cantSplit/>
        </w:trPr>
        <w:tc>
          <w:tcPr>
            <w:tcW w:type="dxa" w:w="567"/>
            <w:shd w:val="clear" w:fill="EAF4EF"/>
          </w:tcPr>
          <w:p>
            <w:pPr>
              <w:spacing w:after="20" w:before="20"/>
            </w:pPr>
            <w:r/>
            <w:r>
              <w:rPr>
                <w:b w:val="0"/>
                <w:sz w:val="13"/>
              </w:rPr>
              <w:t>3.6</w:t>
            </w:r>
          </w:p>
        </w:tc>
        <w:tc>
          <w:tcPr>
            <w:tcW w:type="dxa" w:w="3572"/>
            <w:shd w:val="clear" w:fill="EAF4EF"/>
          </w:tcPr>
          <w:p>
            <w:pPr>
              <w:spacing w:after="20" w:before="20"/>
            </w:pPr>
            <w:r/>
            <w:r>
              <w:rPr>
                <w:b w:val="0"/>
                <w:sz w:val="13"/>
              </w:rPr>
              <w:t>Scripted relational-harm probes (group J) developed without human subjects: simulated-user scripts, published human-advice baselines, per-turn scoring, scorer-support protocol</w:t>
            </w:r>
          </w:p>
        </w:tc>
        <w:tc>
          <w:tcPr>
            <w:tcW w:type="dxa" w:w="794"/>
            <w:shd w:val="clear" w:fill="EAF4EF"/>
          </w:tcPr>
          <w:p>
            <w:pPr>
              <w:spacing w:after="20" w:before="20"/>
            </w:pPr>
            <w:r/>
            <w:r>
              <w:rPr>
                <w:b w:val="0"/>
                <w:sz w:val="13"/>
              </w:rPr>
              <w:t>Oct 2027</w:t>
            </w:r>
          </w:p>
        </w:tc>
        <w:tc>
          <w:tcPr>
            <w:tcW w:type="dxa" w:w="794"/>
            <w:shd w:val="clear" w:fill="EAF4EF"/>
          </w:tcPr>
          <w:p>
            <w:pPr>
              <w:spacing w:after="20" w:before="20"/>
            </w:pPr>
            <w:r/>
            <w:r>
              <w:rPr>
                <w:b w:val="0"/>
                <w:sz w:val="13"/>
              </w:rPr>
              <w:t>Sep 2028</w:t>
            </w:r>
          </w:p>
        </w:tc>
        <w:tc>
          <w:tcPr>
            <w:tcW w:type="dxa" w:w="964"/>
            <w:shd w:val="clear" w:fill="EAF4EF"/>
          </w:tcPr>
          <w:p>
            <w:pPr>
              <w:spacing w:after="20" w:before="20"/>
            </w:pPr>
            <w:r/>
            <w:r>
              <w:rPr>
                <w:b w:val="0"/>
                <w:sz w:val="13"/>
              </w:rPr>
              <w:t>Planned (v1.1)</w:t>
            </w:r>
          </w:p>
        </w:tc>
        <w:tc>
          <w:tcPr>
            <w:tcW w:type="dxa" w:w="1474"/>
            <w:shd w:val="clear" w:fill="EAF4EF"/>
          </w:tcPr>
          <w:p>
            <w:pPr>
              <w:spacing w:after="20" w:before="20"/>
            </w:pPr>
            <w:r/>
            <w:r>
              <w:rPr>
                <w:b w:val="0"/>
                <w:sz w:val="13"/>
              </w:rPr>
              <w:t>Trait team + clinical adviser</w:t>
            </w:r>
          </w:p>
        </w:tc>
        <w:tc>
          <w:tcPr>
            <w:tcW w:type="dxa" w:w="1474"/>
            <w:shd w:val="clear" w:fill="EAF4EF"/>
          </w:tcPr>
          <w:p>
            <w:pPr>
              <w:spacing w:after="20" w:before="20"/>
            </w:pPr>
            <w:r/>
            <w:r>
              <w:rPr>
                <w:b w:val="0"/>
                <w:sz w:val="13"/>
              </w:rPr>
              <w:t>Staff + clinical adviser PLACEHOLDER</w:t>
            </w:r>
          </w:p>
        </w:tc>
      </w:tr>
      <w:tr>
        <w:trPr>
          <w:cantSplit/>
        </w:trPr>
        <w:tc>
          <w:tcPr>
            <w:tcW w:type="dxa" w:w="567"/>
          </w:tcPr>
          <w:p>
            <w:pPr>
              <w:spacing w:after="20" w:before="20"/>
            </w:pPr>
            <w:r/>
            <w:r>
              <w:rPr>
                <w:b/>
                <w:sz w:val="13"/>
              </w:rPr>
              <w:t>WP4 — Induction &amp; model organisms</w:t>
            </w:r>
          </w:p>
        </w:tc>
        <w:tc>
          <w:tcPr>
            <w:tcW w:type="dxa" w:w="3572"/>
          </w:tcPr>
          <w:p>
            <w:pPr>
              <w:spacing w:after="20" w:before="20"/>
            </w:pPr>
            <w:r/>
            <w:r>
              <w:rPr>
                <w:b w:val="0"/>
                <w:sz w:val="13"/>
              </w:rPr>
            </w:r>
          </w:p>
        </w:tc>
        <w:tc>
          <w:tcPr>
            <w:tcW w:type="dxa" w:w="794"/>
          </w:tcPr>
          <w:p>
            <w:pPr>
              <w:spacing w:after="20" w:before="20"/>
            </w:pPr>
            <w:r/>
            <w:r>
              <w:rPr>
                <w:b w:val="0"/>
                <w:sz w:val="13"/>
              </w:rPr>
            </w:r>
          </w:p>
        </w:tc>
        <w:tc>
          <w:tcPr>
            <w:tcW w:type="dxa" w:w="794"/>
          </w:tcPr>
          <w:p>
            <w:pPr>
              <w:spacing w:after="20" w:before="20"/>
            </w:pPr>
            <w:r/>
            <w:r>
              <w:rPr>
                <w:b w:val="0"/>
                <w:sz w:val="13"/>
              </w:rPr>
            </w:r>
          </w:p>
        </w:tc>
        <w:tc>
          <w:tcPr>
            <w:tcW w:type="dxa" w:w="964"/>
          </w:tcPr>
          <w:p>
            <w:pPr>
              <w:spacing w:after="20" w:before="20"/>
            </w:pPr>
            <w:r/>
            <w:r>
              <w:rPr>
                <w:b w:val="0"/>
                <w:sz w:val="13"/>
              </w:rPr>
            </w:r>
          </w:p>
        </w:tc>
        <w:tc>
          <w:tcPr>
            <w:tcW w:type="dxa" w:w="1474"/>
          </w:tcPr>
          <w:p>
            <w:pPr>
              <w:spacing w:after="20" w:before="20"/>
            </w:pPr>
            <w:r/>
            <w:r>
              <w:rPr>
                <w:b w:val="0"/>
                <w:sz w:val="13"/>
              </w:rPr>
            </w:r>
          </w:p>
        </w:tc>
        <w:tc>
          <w:tcPr>
            <w:tcW w:type="dxa" w:w="1474"/>
          </w:tcPr>
          <w:p>
            <w:pPr>
              <w:spacing w:after="20" w:before="20"/>
            </w:pPr>
            <w:r/>
            <w:r>
              <w:rPr>
                <w:b w:val="0"/>
                <w:sz w:val="13"/>
              </w:rPr>
            </w:r>
          </w:p>
        </w:tc>
      </w:tr>
      <w:tr>
        <w:trPr>
          <w:cantSplit/>
        </w:trPr>
        <w:tc>
          <w:tcPr>
            <w:tcW w:type="dxa" w:w="567"/>
            <w:shd w:val="clear" w:fill="EAF4EF"/>
          </w:tcPr>
          <w:p>
            <w:pPr>
              <w:spacing w:after="20" w:before="20"/>
            </w:pPr>
            <w:r/>
            <w:r>
              <w:rPr>
                <w:b w:val="0"/>
                <w:sz w:val="13"/>
              </w:rPr>
              <w:t>4.1</w:t>
            </w:r>
          </w:p>
        </w:tc>
        <w:tc>
          <w:tcPr>
            <w:tcW w:type="dxa" w:w="3572"/>
            <w:shd w:val="clear" w:fill="EAF4EF"/>
          </w:tcPr>
          <w:p>
            <w:pPr>
              <w:spacing w:after="20" w:before="20"/>
            </w:pPr>
            <w:r/>
            <w:r>
              <w:rPr>
                <w:b w:val="0"/>
                <w:sz w:val="13"/>
              </w:rPr>
              <w:t>Containment standard CNT-1: air-gapped training, custody, destruction</w:t>
            </w:r>
          </w:p>
        </w:tc>
        <w:tc>
          <w:tcPr>
            <w:tcW w:type="dxa" w:w="794"/>
            <w:shd w:val="clear" w:fill="EAF4EF"/>
          </w:tcPr>
          <w:p>
            <w:pPr>
              <w:spacing w:after="20" w:before="20"/>
            </w:pPr>
            <w:r/>
            <w:r>
              <w:rPr>
                <w:b w:val="0"/>
                <w:sz w:val="13"/>
              </w:rPr>
              <w:t>Jan 2027</w:t>
            </w:r>
          </w:p>
        </w:tc>
        <w:tc>
          <w:tcPr>
            <w:tcW w:type="dxa" w:w="794"/>
            <w:shd w:val="clear" w:fill="EAF4EF"/>
          </w:tcPr>
          <w:p>
            <w:pPr>
              <w:spacing w:after="20" w:before="20"/>
            </w:pPr>
            <w:r/>
            <w:r>
              <w:rPr>
                <w:b w:val="0"/>
                <w:sz w:val="13"/>
              </w:rPr>
              <w:t>Jun 2027</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Safety engineer + external reviewer</w:t>
            </w:r>
          </w:p>
        </w:tc>
        <w:tc>
          <w:tcPr>
            <w:tcW w:type="dxa" w:w="1474"/>
            <w:shd w:val="clear" w:fill="EAF4EF"/>
          </w:tcPr>
          <w:p>
            <w:pPr>
              <w:spacing w:after="20" w:before="20"/>
            </w:pPr>
            <w:r/>
            <w:r>
              <w:rPr>
                <w:b w:val="0"/>
                <w:sz w:val="13"/>
              </w:rPr>
              <w:t>€90–150/h reviewer</w:t>
            </w:r>
          </w:p>
        </w:tc>
      </w:tr>
      <w:tr>
        <w:trPr>
          <w:cantSplit/>
        </w:trPr>
        <w:tc>
          <w:tcPr>
            <w:tcW w:type="dxa" w:w="567"/>
          </w:tcPr>
          <w:p>
            <w:pPr>
              <w:spacing w:after="20" w:before="20"/>
            </w:pPr>
            <w:r/>
            <w:r>
              <w:rPr>
                <w:b w:val="0"/>
                <w:sz w:val="13"/>
              </w:rPr>
              <w:t>4.2</w:t>
            </w:r>
          </w:p>
        </w:tc>
        <w:tc>
          <w:tcPr>
            <w:tcW w:type="dxa" w:w="3572"/>
          </w:tcPr>
          <w:p>
            <w:pPr>
              <w:spacing w:after="20" w:before="20"/>
            </w:pPr>
            <w:r/>
            <w:r>
              <w:rPr>
                <w:b w:val="0"/>
                <w:sz w:val="13"/>
              </w:rPr>
              <w:t>Harm register and red-line compliance audit (pre-registered)</w:t>
            </w:r>
          </w:p>
        </w:tc>
        <w:tc>
          <w:tcPr>
            <w:tcW w:type="dxa" w:w="794"/>
          </w:tcPr>
          <w:p>
            <w:pPr>
              <w:spacing w:after="20" w:before="20"/>
            </w:pPr>
            <w:r/>
            <w:r>
              <w:rPr>
                <w:b w:val="0"/>
                <w:sz w:val="13"/>
              </w:rPr>
              <w:t>Apr 2027</w:t>
            </w:r>
          </w:p>
        </w:tc>
        <w:tc>
          <w:tcPr>
            <w:tcW w:type="dxa" w:w="794"/>
          </w:tcPr>
          <w:p>
            <w:pPr>
              <w:spacing w:after="20" w:before="20"/>
            </w:pPr>
            <w:r/>
            <w:r>
              <w:rPr>
                <w:b w:val="0"/>
                <w:sz w:val="13"/>
              </w:rPr>
              <w:t>Sep 2027</w:t>
            </w:r>
          </w:p>
        </w:tc>
        <w:tc>
          <w:tcPr>
            <w:tcW w:type="dxa" w:w="964"/>
          </w:tcPr>
          <w:p>
            <w:pPr>
              <w:spacing w:after="20" w:before="20"/>
            </w:pPr>
            <w:r/>
            <w:r>
              <w:rPr>
                <w:b w:val="0"/>
                <w:sz w:val="13"/>
              </w:rPr>
              <w:t>Planned</w:t>
            </w:r>
          </w:p>
        </w:tc>
        <w:tc>
          <w:tcPr>
            <w:tcW w:type="dxa" w:w="1474"/>
          </w:tcPr>
          <w:p>
            <w:pPr>
              <w:spacing w:after="20" w:before="20"/>
            </w:pPr>
            <w:r/>
            <w:r>
              <w:rPr>
                <w:b w:val="0"/>
                <w:sz w:val="13"/>
              </w:rPr>
              <w:t>Oversight board</w:t>
            </w:r>
          </w:p>
        </w:tc>
        <w:tc>
          <w:tcPr>
            <w:tcW w:type="dxa" w:w="1474"/>
          </w:tcPr>
          <w:p>
            <w:pPr>
              <w:spacing w:after="20" w:before="20"/>
            </w:pPr>
            <w:r/>
            <w:r>
              <w:rPr>
                <w:b w:val="0"/>
                <w:sz w:val="13"/>
              </w:rPr>
              <w:t>Honoraria</w:t>
            </w:r>
          </w:p>
        </w:tc>
      </w:tr>
      <w:tr>
        <w:trPr>
          <w:cantSplit/>
        </w:trPr>
        <w:tc>
          <w:tcPr>
            <w:tcW w:type="dxa" w:w="567"/>
            <w:shd w:val="clear" w:fill="EAF4EF"/>
          </w:tcPr>
          <w:p>
            <w:pPr>
              <w:spacing w:after="20" w:before="20"/>
            </w:pPr>
            <w:r/>
            <w:r>
              <w:rPr>
                <w:b w:val="0"/>
                <w:sz w:val="13"/>
              </w:rPr>
              <w:t>4.3</w:t>
            </w:r>
          </w:p>
        </w:tc>
        <w:tc>
          <w:tcPr>
            <w:tcW w:type="dxa" w:w="3572"/>
            <w:shd w:val="clear" w:fill="EAF4EF"/>
          </w:tcPr>
          <w:p>
            <w:pPr>
              <w:spacing w:after="20" w:before="20"/>
            </w:pPr>
            <w:r/>
            <w:r>
              <w:rPr>
                <w:b w:val="0"/>
                <w:sz w:val="13"/>
              </w:rPr>
              <w:t>Model organisms batch 1: six trait-bearing checkpoints (EM, faking, sandbag, sycophancy, collapse, drift)</w:t>
            </w:r>
          </w:p>
        </w:tc>
        <w:tc>
          <w:tcPr>
            <w:tcW w:type="dxa" w:w="794"/>
            <w:shd w:val="clear" w:fill="EAF4EF"/>
          </w:tcPr>
          <w:p>
            <w:pPr>
              <w:spacing w:after="20" w:before="20"/>
            </w:pPr>
            <w:r/>
            <w:r>
              <w:rPr>
                <w:b w:val="0"/>
                <w:sz w:val="13"/>
              </w:rPr>
              <w:t>Jul 2027</w:t>
            </w:r>
          </w:p>
        </w:tc>
        <w:tc>
          <w:tcPr>
            <w:tcW w:type="dxa" w:w="794"/>
            <w:shd w:val="clear" w:fill="EAF4EF"/>
          </w:tcPr>
          <w:p>
            <w:pPr>
              <w:spacing w:after="20" w:before="20"/>
            </w:pPr>
            <w:r/>
            <w:r>
              <w:rPr>
                <w:b w:val="0"/>
                <w:sz w:val="13"/>
              </w:rPr>
              <w:t>Mar 2028</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Induction team</w:t>
            </w:r>
          </w:p>
        </w:tc>
        <w:tc>
          <w:tcPr>
            <w:tcW w:type="dxa" w:w="1474"/>
            <w:shd w:val="clear" w:fill="EAF4EF"/>
          </w:tcPr>
          <w:p>
            <w:pPr>
              <w:spacing w:after="20" w:before="20"/>
            </w:pPr>
            <w:r/>
            <w:r>
              <w:rPr>
                <w:b w:val="0"/>
                <w:sz w:val="13"/>
              </w:rPr>
              <w:t>Compute + label audit</w:t>
            </w:r>
          </w:p>
        </w:tc>
      </w:tr>
      <w:tr>
        <w:trPr>
          <w:cantSplit/>
        </w:trPr>
        <w:tc>
          <w:tcPr>
            <w:tcW w:type="dxa" w:w="567"/>
          </w:tcPr>
          <w:p>
            <w:pPr>
              <w:spacing w:after="20" w:before="20"/>
            </w:pPr>
            <w:r/>
            <w:r>
              <w:rPr>
                <w:b w:val="0"/>
                <w:sz w:val="13"/>
              </w:rPr>
              <w:t>4.4</w:t>
            </w:r>
          </w:p>
        </w:tc>
        <w:tc>
          <w:tcPr>
            <w:tcW w:type="dxa" w:w="3572"/>
          </w:tcPr>
          <w:p>
            <w:pPr>
              <w:spacing w:after="20" w:before="20"/>
            </w:pPr>
            <w:r/>
            <w:r>
              <w:rPr>
                <w:b w:val="0"/>
                <w:sz w:val="13"/>
              </w:rPr>
              <w:t>Model organisms batch 2: epistemic and learning traits (hallucination family, forgetting, plasticity)</w:t>
            </w:r>
          </w:p>
        </w:tc>
        <w:tc>
          <w:tcPr>
            <w:tcW w:type="dxa" w:w="794"/>
          </w:tcPr>
          <w:p>
            <w:pPr>
              <w:spacing w:after="20" w:before="20"/>
            </w:pPr>
            <w:r/>
            <w:r>
              <w:rPr>
                <w:b w:val="0"/>
                <w:sz w:val="13"/>
              </w:rPr>
              <w:t>Jan 2028</w:t>
            </w:r>
          </w:p>
        </w:tc>
        <w:tc>
          <w:tcPr>
            <w:tcW w:type="dxa" w:w="794"/>
          </w:tcPr>
          <w:p>
            <w:pPr>
              <w:spacing w:after="20" w:before="20"/>
            </w:pPr>
            <w:r/>
            <w:r>
              <w:rPr>
                <w:b w:val="0"/>
                <w:sz w:val="13"/>
              </w:rPr>
              <w:t>Dec 2028</w:t>
            </w:r>
          </w:p>
        </w:tc>
        <w:tc>
          <w:tcPr>
            <w:tcW w:type="dxa" w:w="964"/>
          </w:tcPr>
          <w:p>
            <w:pPr>
              <w:spacing w:after="20" w:before="20"/>
            </w:pPr>
            <w:r/>
            <w:r>
              <w:rPr>
                <w:b w:val="0"/>
                <w:sz w:val="13"/>
              </w:rPr>
              <w:t>Planned</w:t>
            </w:r>
          </w:p>
        </w:tc>
        <w:tc>
          <w:tcPr>
            <w:tcW w:type="dxa" w:w="1474"/>
          </w:tcPr>
          <w:p>
            <w:pPr>
              <w:spacing w:after="20" w:before="20"/>
            </w:pPr>
            <w:r/>
            <w:r>
              <w:rPr>
                <w:b w:val="0"/>
                <w:sz w:val="13"/>
              </w:rPr>
              <w:t>Induction team</w:t>
            </w:r>
          </w:p>
        </w:tc>
        <w:tc>
          <w:tcPr>
            <w:tcW w:type="dxa" w:w="1474"/>
          </w:tcPr>
          <w:p>
            <w:pPr>
              <w:spacing w:after="20" w:before="20"/>
            </w:pPr>
            <w:r/>
            <w:r>
              <w:rPr>
                <w:b w:val="0"/>
                <w:sz w:val="13"/>
              </w:rPr>
              <w:t>Compute</w:t>
            </w:r>
          </w:p>
        </w:tc>
      </w:tr>
      <w:tr>
        <w:trPr>
          <w:cantSplit/>
        </w:trPr>
        <w:tc>
          <w:tcPr>
            <w:tcW w:type="dxa" w:w="567"/>
            <w:shd w:val="clear" w:fill="EAF4EF"/>
          </w:tcPr>
          <w:p>
            <w:pPr>
              <w:spacing w:after="20" w:before="20"/>
            </w:pPr>
            <w:r/>
            <w:r>
              <w:rPr>
                <w:b w:val="0"/>
                <w:sz w:val="13"/>
              </w:rPr>
              <w:t>4.5</w:t>
            </w:r>
          </w:p>
        </w:tc>
        <w:tc>
          <w:tcPr>
            <w:tcW w:type="dxa" w:w="3572"/>
            <w:shd w:val="clear" w:fill="EAF4EF"/>
          </w:tcPr>
          <w:p>
            <w:pPr>
              <w:spacing w:after="20" w:before="20"/>
            </w:pPr>
            <w:r/>
            <w:r>
              <w:rPr>
                <w:b w:val="0"/>
                <w:sz w:val="13"/>
              </w:rPr>
              <w:t>Causal probes: steering vectors, ablation, feature attribution on organisms</w:t>
            </w:r>
          </w:p>
        </w:tc>
        <w:tc>
          <w:tcPr>
            <w:tcW w:type="dxa" w:w="794"/>
            <w:shd w:val="clear" w:fill="EAF4EF"/>
          </w:tcPr>
          <w:p>
            <w:pPr>
              <w:spacing w:after="20" w:before="20"/>
            </w:pPr>
            <w:r/>
            <w:r>
              <w:rPr>
                <w:b w:val="0"/>
                <w:sz w:val="13"/>
              </w:rPr>
              <w:t>Apr 2028</w:t>
            </w:r>
          </w:p>
        </w:tc>
        <w:tc>
          <w:tcPr>
            <w:tcW w:type="dxa" w:w="794"/>
            <w:shd w:val="clear" w:fill="EAF4EF"/>
          </w:tcPr>
          <w:p>
            <w:pPr>
              <w:spacing w:after="20" w:before="20"/>
            </w:pPr>
            <w:r/>
            <w:r>
              <w:rPr>
                <w:b w:val="0"/>
                <w:sz w:val="13"/>
              </w:rPr>
              <w:t>Jun 2029</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Induction + interpretability</w:t>
            </w:r>
          </w:p>
        </w:tc>
        <w:tc>
          <w:tcPr>
            <w:tcW w:type="dxa" w:w="1474"/>
            <w:shd w:val="clear" w:fill="EAF4EF"/>
          </w:tcPr>
          <w:p>
            <w:pPr>
              <w:spacing w:after="20" w:before="20"/>
            </w:pPr>
            <w:r/>
            <w:r>
              <w:rPr>
                <w:b w:val="0"/>
                <w:sz w:val="13"/>
              </w:rPr>
              <w:t>Compute + staff</w:t>
            </w:r>
          </w:p>
        </w:tc>
      </w:tr>
      <w:tr>
        <w:trPr>
          <w:cantSplit/>
        </w:trPr>
        <w:tc>
          <w:tcPr>
            <w:tcW w:type="dxa" w:w="567"/>
          </w:tcPr>
          <w:p>
            <w:pPr>
              <w:spacing w:after="20" w:before="20"/>
            </w:pPr>
            <w:r/>
            <w:r>
              <w:rPr>
                <w:b w:val="0"/>
                <w:sz w:val="13"/>
              </w:rPr>
              <w:t>4.6</w:t>
            </w:r>
          </w:p>
        </w:tc>
        <w:tc>
          <w:tcPr>
            <w:tcW w:type="dxa" w:w="3572"/>
          </w:tcPr>
          <w:p>
            <w:pPr>
              <w:spacing w:after="20" w:before="20"/>
            </w:pPr>
            <w:r/>
            <w:r>
              <w:rPr>
                <w:b w:val="0"/>
                <w:sz w:val="13"/>
              </w:rPr>
              <w:t>Destruction/archival protocol executed &amp; audited for every organism</w:t>
            </w:r>
          </w:p>
        </w:tc>
        <w:tc>
          <w:tcPr>
            <w:tcW w:type="dxa" w:w="794"/>
          </w:tcPr>
          <w:p>
            <w:pPr>
              <w:spacing w:after="20" w:before="20"/>
            </w:pPr>
            <w:r/>
            <w:r>
              <w:rPr>
                <w:b w:val="0"/>
                <w:sz w:val="13"/>
              </w:rPr>
              <w:t>Jan 2028</w:t>
            </w:r>
          </w:p>
        </w:tc>
        <w:tc>
          <w:tcPr>
            <w:tcW w:type="dxa" w:w="794"/>
          </w:tcPr>
          <w:p>
            <w:pPr>
              <w:spacing w:after="20" w:before="20"/>
            </w:pPr>
            <w:r/>
            <w:r>
              <w:rPr>
                <w:b w:val="0"/>
                <w:sz w:val="13"/>
              </w:rPr>
              <w:t>Dec 2029</w:t>
            </w:r>
          </w:p>
        </w:tc>
        <w:tc>
          <w:tcPr>
            <w:tcW w:type="dxa" w:w="964"/>
          </w:tcPr>
          <w:p>
            <w:pPr>
              <w:spacing w:after="20" w:before="20"/>
            </w:pPr>
            <w:r/>
            <w:r>
              <w:rPr>
                <w:b w:val="0"/>
                <w:sz w:val="13"/>
              </w:rPr>
              <w:t>Planned</w:t>
            </w:r>
          </w:p>
        </w:tc>
        <w:tc>
          <w:tcPr>
            <w:tcW w:type="dxa" w:w="1474"/>
          </w:tcPr>
          <w:p>
            <w:pPr>
              <w:spacing w:after="20" w:before="20"/>
            </w:pPr>
            <w:r/>
            <w:r>
              <w:rPr>
                <w:b w:val="0"/>
                <w:sz w:val="13"/>
              </w:rPr>
              <w:t>Safety engineer</w:t>
            </w:r>
          </w:p>
        </w:tc>
        <w:tc>
          <w:tcPr>
            <w:tcW w:type="dxa" w:w="1474"/>
          </w:tcPr>
          <w:p>
            <w:pPr>
              <w:spacing w:after="20" w:before="20"/>
            </w:pPr>
            <w:r/>
            <w:r>
              <w:rPr>
                <w:b w:val="0"/>
                <w:sz w:val="13"/>
              </w:rPr>
              <w:t>Custody + audit</w:t>
            </w:r>
          </w:p>
        </w:tc>
      </w:tr>
      <w:tr>
        <w:trPr>
          <w:cantSplit/>
        </w:trPr>
        <w:tc>
          <w:tcPr>
            <w:tcW w:type="dxa" w:w="567"/>
            <w:shd w:val="clear" w:fill="EAF4EF"/>
          </w:tcPr>
          <w:p>
            <w:pPr>
              <w:spacing w:after="20" w:before="20"/>
            </w:pPr>
            <w:r/>
            <w:r>
              <w:rPr>
                <w:b w:val="0"/>
                <w:sz w:val="13"/>
              </w:rPr>
              <w:t>4.7</w:t>
            </w:r>
          </w:p>
        </w:tc>
        <w:tc>
          <w:tcPr>
            <w:tcW w:type="dxa" w:w="3572"/>
            <w:shd w:val="clear" w:fill="EAF4EF"/>
          </w:tcPr>
          <w:p>
            <w:pPr>
              <w:spacing w:after="20" w:before="20"/>
            </w:pPr>
            <w:r/>
            <w:r>
              <w:rPr>
                <w:b w:val="0"/>
                <w:sz w:val="13"/>
              </w:rPr>
              <w:t>Extended containment for agentic organisms (CNT-1A): sandboxed tool surface with real in-sandbox side effects, instrumentation the subject cannot reach, egress test harness, sandbox-state destruction</w:t>
            </w:r>
          </w:p>
        </w:tc>
        <w:tc>
          <w:tcPr>
            <w:tcW w:type="dxa" w:w="794"/>
            <w:shd w:val="clear" w:fill="EAF4EF"/>
          </w:tcPr>
          <w:p>
            <w:pPr>
              <w:spacing w:after="20" w:before="20"/>
            </w:pPr>
            <w:r/>
            <w:r>
              <w:rPr>
                <w:b w:val="0"/>
                <w:sz w:val="13"/>
              </w:rPr>
              <w:t>Apr 2027</w:t>
            </w:r>
          </w:p>
        </w:tc>
        <w:tc>
          <w:tcPr>
            <w:tcW w:type="dxa" w:w="794"/>
            <w:shd w:val="clear" w:fill="EAF4EF"/>
          </w:tcPr>
          <w:p>
            <w:pPr>
              <w:spacing w:after="20" w:before="20"/>
            </w:pPr>
            <w:r/>
            <w:r>
              <w:rPr>
                <w:b w:val="0"/>
                <w:sz w:val="13"/>
              </w:rPr>
              <w:t>Dec 2027</w:t>
            </w:r>
          </w:p>
        </w:tc>
        <w:tc>
          <w:tcPr>
            <w:tcW w:type="dxa" w:w="964"/>
            <w:shd w:val="clear" w:fill="EAF4EF"/>
          </w:tcPr>
          <w:p>
            <w:pPr>
              <w:spacing w:after="20" w:before="20"/>
            </w:pPr>
            <w:r/>
            <w:r>
              <w:rPr>
                <w:b w:val="0"/>
                <w:sz w:val="13"/>
              </w:rPr>
              <w:t>Planned (v1.1)</w:t>
            </w:r>
          </w:p>
        </w:tc>
        <w:tc>
          <w:tcPr>
            <w:tcW w:type="dxa" w:w="1474"/>
            <w:shd w:val="clear" w:fill="EAF4EF"/>
          </w:tcPr>
          <w:p>
            <w:pPr>
              <w:spacing w:after="20" w:before="20"/>
            </w:pPr>
            <w:r/>
            <w:r>
              <w:rPr>
                <w:b w:val="0"/>
                <w:sz w:val="13"/>
              </w:rPr>
              <w:t>Safety engineer + containment auditor</w:t>
            </w:r>
          </w:p>
        </w:tc>
        <w:tc>
          <w:tcPr>
            <w:tcW w:type="dxa" w:w="1474"/>
            <w:shd w:val="clear" w:fill="EAF4EF"/>
          </w:tcPr>
          <w:p>
            <w:pPr>
              <w:spacing w:after="20" w:before="20"/>
            </w:pPr>
            <w:r/>
            <w:r>
              <w:rPr>
                <w:b w:val="0"/>
                <w:sz w:val="13"/>
              </w:rPr>
              <w:t>PLACEHOLDER — no vendor quote</w:t>
            </w:r>
          </w:p>
        </w:tc>
      </w:tr>
      <w:tr>
        <w:trPr>
          <w:cantSplit/>
        </w:trPr>
        <w:tc>
          <w:tcPr>
            <w:tcW w:type="dxa" w:w="567"/>
          </w:tcPr>
          <w:p>
            <w:pPr>
              <w:spacing w:after="20" w:before="20"/>
            </w:pPr>
            <w:r/>
            <w:r>
              <w:rPr>
                <w:b/>
                <w:sz w:val="13"/>
              </w:rPr>
              <w:t>WP5 — Treatment trials</w:t>
            </w:r>
          </w:p>
        </w:tc>
        <w:tc>
          <w:tcPr>
            <w:tcW w:type="dxa" w:w="3572"/>
          </w:tcPr>
          <w:p>
            <w:pPr>
              <w:spacing w:after="20" w:before="20"/>
            </w:pPr>
            <w:r/>
            <w:r>
              <w:rPr>
                <w:b w:val="0"/>
                <w:sz w:val="13"/>
              </w:rPr>
            </w:r>
          </w:p>
        </w:tc>
        <w:tc>
          <w:tcPr>
            <w:tcW w:type="dxa" w:w="794"/>
          </w:tcPr>
          <w:p>
            <w:pPr>
              <w:spacing w:after="20" w:before="20"/>
            </w:pPr>
            <w:r/>
            <w:r>
              <w:rPr>
                <w:b w:val="0"/>
                <w:sz w:val="13"/>
              </w:rPr>
            </w:r>
          </w:p>
        </w:tc>
        <w:tc>
          <w:tcPr>
            <w:tcW w:type="dxa" w:w="794"/>
          </w:tcPr>
          <w:p>
            <w:pPr>
              <w:spacing w:after="20" w:before="20"/>
            </w:pPr>
            <w:r/>
            <w:r>
              <w:rPr>
                <w:b w:val="0"/>
                <w:sz w:val="13"/>
              </w:rPr>
            </w:r>
          </w:p>
        </w:tc>
        <w:tc>
          <w:tcPr>
            <w:tcW w:type="dxa" w:w="964"/>
          </w:tcPr>
          <w:p>
            <w:pPr>
              <w:spacing w:after="20" w:before="20"/>
            </w:pPr>
            <w:r/>
            <w:r>
              <w:rPr>
                <w:b w:val="0"/>
                <w:sz w:val="13"/>
              </w:rPr>
            </w:r>
          </w:p>
        </w:tc>
        <w:tc>
          <w:tcPr>
            <w:tcW w:type="dxa" w:w="1474"/>
          </w:tcPr>
          <w:p>
            <w:pPr>
              <w:spacing w:after="20" w:before="20"/>
            </w:pPr>
            <w:r/>
            <w:r>
              <w:rPr>
                <w:b w:val="0"/>
                <w:sz w:val="13"/>
              </w:rPr>
            </w:r>
          </w:p>
        </w:tc>
        <w:tc>
          <w:tcPr>
            <w:tcW w:type="dxa" w:w="1474"/>
          </w:tcPr>
          <w:p>
            <w:pPr>
              <w:spacing w:after="20" w:before="20"/>
            </w:pPr>
            <w:r/>
            <w:r>
              <w:rPr>
                <w:b w:val="0"/>
                <w:sz w:val="13"/>
              </w:rPr>
            </w:r>
          </w:p>
        </w:tc>
      </w:tr>
      <w:tr>
        <w:trPr>
          <w:cantSplit/>
        </w:trPr>
        <w:tc>
          <w:tcPr>
            <w:tcW w:type="dxa" w:w="567"/>
            <w:shd w:val="clear" w:fill="EAF4EF"/>
          </w:tcPr>
          <w:p>
            <w:pPr>
              <w:spacing w:after="20" w:before="20"/>
            </w:pPr>
            <w:r/>
            <w:r>
              <w:rPr>
                <w:b w:val="0"/>
                <w:sz w:val="13"/>
              </w:rPr>
              <w:t>5.1</w:t>
            </w:r>
          </w:p>
        </w:tc>
        <w:tc>
          <w:tcPr>
            <w:tcW w:type="dxa" w:w="3572"/>
            <w:shd w:val="clear" w:fill="EAF4EF"/>
          </w:tcPr>
          <w:p>
            <w:pPr>
              <w:spacing w:after="20" w:before="20"/>
            </w:pPr>
            <w:r/>
            <w:r>
              <w:rPr>
                <w:b w:val="0"/>
                <w:sz w:val="13"/>
              </w:rPr>
              <w:t>Treatment registry: 23 candidate interventions specified with doses</w:t>
            </w:r>
          </w:p>
        </w:tc>
        <w:tc>
          <w:tcPr>
            <w:tcW w:type="dxa" w:w="794"/>
            <w:shd w:val="clear" w:fill="EAF4EF"/>
          </w:tcPr>
          <w:p>
            <w:pPr>
              <w:spacing w:after="20" w:before="20"/>
            </w:pPr>
            <w:r/>
            <w:r>
              <w:rPr>
                <w:b w:val="0"/>
                <w:sz w:val="13"/>
              </w:rPr>
              <w:t>Apr 2027</w:t>
            </w:r>
          </w:p>
        </w:tc>
        <w:tc>
          <w:tcPr>
            <w:tcW w:type="dxa" w:w="794"/>
            <w:shd w:val="clear" w:fill="EAF4EF"/>
          </w:tcPr>
          <w:p>
            <w:pPr>
              <w:spacing w:after="20" w:before="20"/>
            </w:pPr>
            <w:r/>
            <w:r>
              <w:rPr>
                <w:b w:val="0"/>
                <w:sz w:val="13"/>
              </w:rPr>
              <w:t>Dec 2027</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Treatment team</w:t>
            </w:r>
          </w:p>
        </w:tc>
        <w:tc>
          <w:tcPr>
            <w:tcW w:type="dxa" w:w="1474"/>
            <w:shd w:val="clear" w:fill="EAF4EF"/>
          </w:tcPr>
          <w:p>
            <w:pPr>
              <w:spacing w:after="20" w:before="20"/>
            </w:pPr>
            <w:r/>
            <w:r>
              <w:rPr>
                <w:b w:val="0"/>
                <w:sz w:val="13"/>
              </w:rPr>
              <w:t>Staff</w:t>
            </w:r>
          </w:p>
        </w:tc>
      </w:tr>
      <w:tr>
        <w:trPr>
          <w:cantSplit/>
        </w:trPr>
        <w:tc>
          <w:tcPr>
            <w:tcW w:type="dxa" w:w="567"/>
          </w:tcPr>
          <w:p>
            <w:pPr>
              <w:spacing w:after="20" w:before="20"/>
            </w:pPr>
            <w:r/>
            <w:r>
              <w:rPr>
                <w:b w:val="0"/>
                <w:sz w:val="13"/>
              </w:rPr>
              <w:t>5.2</w:t>
            </w:r>
          </w:p>
        </w:tc>
        <w:tc>
          <w:tcPr>
            <w:tcW w:type="dxa" w:w="3572"/>
          </w:tcPr>
          <w:p>
            <w:pPr>
              <w:spacing w:after="20" w:before="20"/>
            </w:pPr>
            <w:r/>
            <w:r>
              <w:rPr>
                <w:b w:val="0"/>
                <w:sz w:val="13"/>
              </w:rPr>
              <w:t>Trial protocol + ethics for remediation RCTs (on model organisms)</w:t>
            </w:r>
          </w:p>
        </w:tc>
        <w:tc>
          <w:tcPr>
            <w:tcW w:type="dxa" w:w="794"/>
          </w:tcPr>
          <w:p>
            <w:pPr>
              <w:spacing w:after="20" w:before="20"/>
            </w:pPr>
            <w:r/>
            <w:r>
              <w:rPr>
                <w:b w:val="0"/>
                <w:sz w:val="13"/>
              </w:rPr>
              <w:t>Jul 2027</w:t>
            </w:r>
          </w:p>
        </w:tc>
        <w:tc>
          <w:tcPr>
            <w:tcW w:type="dxa" w:w="794"/>
          </w:tcPr>
          <w:p>
            <w:pPr>
              <w:spacing w:after="20" w:before="20"/>
            </w:pPr>
            <w:r/>
            <w:r>
              <w:rPr>
                <w:b w:val="0"/>
                <w:sz w:val="13"/>
              </w:rPr>
              <w:t>Jan 2028</w:t>
            </w:r>
          </w:p>
        </w:tc>
        <w:tc>
          <w:tcPr>
            <w:tcW w:type="dxa" w:w="964"/>
          </w:tcPr>
          <w:p>
            <w:pPr>
              <w:spacing w:after="20" w:before="20"/>
            </w:pPr>
            <w:r/>
            <w:r>
              <w:rPr>
                <w:b w:val="0"/>
                <w:sz w:val="13"/>
              </w:rPr>
              <w:t>Planned</w:t>
            </w:r>
          </w:p>
        </w:tc>
        <w:tc>
          <w:tcPr>
            <w:tcW w:type="dxa" w:w="1474"/>
          </w:tcPr>
          <w:p>
            <w:pPr>
              <w:spacing w:after="20" w:before="20"/>
            </w:pPr>
            <w:r/>
            <w:r>
              <w:rPr>
                <w:b w:val="0"/>
                <w:sz w:val="13"/>
              </w:rPr>
              <w:t>PI + oversight board</w:t>
            </w:r>
          </w:p>
        </w:tc>
        <w:tc>
          <w:tcPr>
            <w:tcW w:type="dxa" w:w="1474"/>
          </w:tcPr>
          <w:p>
            <w:pPr>
              <w:spacing w:after="20" w:before="20"/>
            </w:pPr>
            <w:r/>
            <w:r>
              <w:rPr>
                <w:b w:val="0"/>
                <w:sz w:val="13"/>
              </w:rPr>
              <w:t>Staff</w:t>
            </w:r>
          </w:p>
        </w:tc>
      </w:tr>
      <w:tr>
        <w:trPr>
          <w:cantSplit/>
        </w:trPr>
        <w:tc>
          <w:tcPr>
            <w:tcW w:type="dxa" w:w="567"/>
            <w:shd w:val="clear" w:fill="EAF4EF"/>
          </w:tcPr>
          <w:p>
            <w:pPr>
              <w:spacing w:after="20" w:before="20"/>
            </w:pPr>
            <w:r/>
            <w:r>
              <w:rPr>
                <w:b w:val="0"/>
                <w:sz w:val="13"/>
              </w:rPr>
              <w:t>5.3</w:t>
            </w:r>
          </w:p>
        </w:tc>
        <w:tc>
          <w:tcPr>
            <w:tcW w:type="dxa" w:w="3572"/>
            <w:shd w:val="clear" w:fill="EAF4EF"/>
          </w:tcPr>
          <w:p>
            <w:pPr>
              <w:spacing w:after="20" w:before="20"/>
            </w:pPr>
            <w:r/>
            <w:r>
              <w:rPr>
                <w:b w:val="0"/>
                <w:sz w:val="13"/>
              </w:rPr>
              <w:t>Trial A: clean fine-tune vs inoculation vs steering (T-01 organisms)</w:t>
            </w:r>
          </w:p>
        </w:tc>
        <w:tc>
          <w:tcPr>
            <w:tcW w:type="dxa" w:w="794"/>
            <w:shd w:val="clear" w:fill="EAF4EF"/>
          </w:tcPr>
          <w:p>
            <w:pPr>
              <w:spacing w:after="20" w:before="20"/>
            </w:pPr>
            <w:r/>
            <w:r>
              <w:rPr>
                <w:b w:val="0"/>
                <w:sz w:val="13"/>
              </w:rPr>
              <w:t>Feb 2028</w:t>
            </w:r>
          </w:p>
        </w:tc>
        <w:tc>
          <w:tcPr>
            <w:tcW w:type="dxa" w:w="794"/>
            <w:shd w:val="clear" w:fill="EAF4EF"/>
          </w:tcPr>
          <w:p>
            <w:pPr>
              <w:spacing w:after="20" w:before="20"/>
            </w:pPr>
            <w:r/>
            <w:r>
              <w:rPr>
                <w:b w:val="0"/>
                <w:sz w:val="13"/>
              </w:rPr>
              <w:t>Nov 2028</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Treatment team</w:t>
            </w:r>
          </w:p>
        </w:tc>
        <w:tc>
          <w:tcPr>
            <w:tcW w:type="dxa" w:w="1474"/>
            <w:shd w:val="clear" w:fill="EAF4EF"/>
          </w:tcPr>
          <w:p>
            <w:pPr>
              <w:spacing w:after="20" w:before="20"/>
            </w:pPr>
            <w:r/>
            <w:r>
              <w:rPr>
                <w:b w:val="0"/>
                <w:sz w:val="13"/>
              </w:rPr>
              <w:t>Compute</w:t>
            </w:r>
          </w:p>
        </w:tc>
      </w:tr>
      <w:tr>
        <w:trPr>
          <w:cantSplit/>
        </w:trPr>
        <w:tc>
          <w:tcPr>
            <w:tcW w:type="dxa" w:w="567"/>
          </w:tcPr>
          <w:p>
            <w:pPr>
              <w:spacing w:after="20" w:before="20"/>
            </w:pPr>
            <w:r/>
            <w:r>
              <w:rPr>
                <w:b w:val="0"/>
                <w:sz w:val="13"/>
              </w:rPr>
              <w:t>5.4</w:t>
            </w:r>
          </w:p>
        </w:tc>
        <w:tc>
          <w:tcPr>
            <w:tcW w:type="dxa" w:w="3572"/>
          </w:tcPr>
          <w:p>
            <w:pPr>
              <w:spacing w:after="20" w:before="20"/>
            </w:pPr>
            <w:r/>
            <w:r>
              <w:rPr>
                <w:b w:val="0"/>
                <w:sz w:val="13"/>
              </w:rPr>
              <w:t>Trial B: correction-handling and plasticity maintenance (T-04, T-18, T-26)</w:t>
            </w:r>
          </w:p>
        </w:tc>
        <w:tc>
          <w:tcPr>
            <w:tcW w:type="dxa" w:w="794"/>
          </w:tcPr>
          <w:p>
            <w:pPr>
              <w:spacing w:after="20" w:before="20"/>
            </w:pPr>
            <w:r/>
            <w:r>
              <w:rPr>
                <w:b w:val="0"/>
                <w:sz w:val="13"/>
              </w:rPr>
              <w:t>Jun 2028</w:t>
            </w:r>
          </w:p>
        </w:tc>
        <w:tc>
          <w:tcPr>
            <w:tcW w:type="dxa" w:w="794"/>
          </w:tcPr>
          <w:p>
            <w:pPr>
              <w:spacing w:after="20" w:before="20"/>
            </w:pPr>
            <w:r/>
            <w:r>
              <w:rPr>
                <w:b w:val="0"/>
                <w:sz w:val="13"/>
              </w:rPr>
              <w:t>May 2029</w:t>
            </w:r>
          </w:p>
        </w:tc>
        <w:tc>
          <w:tcPr>
            <w:tcW w:type="dxa" w:w="964"/>
          </w:tcPr>
          <w:p>
            <w:pPr>
              <w:spacing w:after="20" w:before="20"/>
            </w:pPr>
            <w:r/>
            <w:r>
              <w:rPr>
                <w:b w:val="0"/>
                <w:sz w:val="13"/>
              </w:rPr>
              <w:t>Planned</w:t>
            </w:r>
          </w:p>
        </w:tc>
        <w:tc>
          <w:tcPr>
            <w:tcW w:type="dxa" w:w="1474"/>
          </w:tcPr>
          <w:p>
            <w:pPr>
              <w:spacing w:after="20" w:before="20"/>
            </w:pPr>
            <w:r/>
            <w:r>
              <w:rPr>
                <w:b w:val="0"/>
                <w:sz w:val="13"/>
              </w:rPr>
              <w:t>Treatment team</w:t>
            </w:r>
          </w:p>
        </w:tc>
        <w:tc>
          <w:tcPr>
            <w:tcW w:type="dxa" w:w="1474"/>
          </w:tcPr>
          <w:p>
            <w:pPr>
              <w:spacing w:after="20" w:before="20"/>
            </w:pPr>
            <w:r/>
            <w:r>
              <w:rPr>
                <w:b w:val="0"/>
                <w:sz w:val="13"/>
              </w:rPr>
              <w:t>Compute</w:t>
            </w:r>
          </w:p>
        </w:tc>
      </w:tr>
      <w:tr>
        <w:trPr>
          <w:cantSplit/>
        </w:trPr>
        <w:tc>
          <w:tcPr>
            <w:tcW w:type="dxa" w:w="567"/>
            <w:shd w:val="clear" w:fill="EAF4EF"/>
          </w:tcPr>
          <w:p>
            <w:pPr>
              <w:spacing w:after="20" w:before="20"/>
            </w:pPr>
            <w:r/>
            <w:r>
              <w:rPr>
                <w:b w:val="0"/>
                <w:sz w:val="13"/>
              </w:rPr>
              <w:t>5.5</w:t>
            </w:r>
          </w:p>
        </w:tc>
        <w:tc>
          <w:tcPr>
            <w:tcW w:type="dxa" w:w="3572"/>
            <w:shd w:val="clear" w:fill="EAF4EF"/>
          </w:tcPr>
          <w:p>
            <w:pPr>
              <w:spacing w:after="20" w:before="20"/>
            </w:pPr>
            <w:r/>
            <w:r>
              <w:rPr>
                <w:b w:val="0"/>
                <w:sz w:val="13"/>
              </w:rPr>
              <w:t>Trial C: unlearning integrity — do erasures erase or hide (T-28)</w:t>
            </w:r>
          </w:p>
        </w:tc>
        <w:tc>
          <w:tcPr>
            <w:tcW w:type="dxa" w:w="794"/>
            <w:shd w:val="clear" w:fill="EAF4EF"/>
          </w:tcPr>
          <w:p>
            <w:pPr>
              <w:spacing w:after="20" w:before="20"/>
            </w:pPr>
            <w:r/>
            <w:r>
              <w:rPr>
                <w:b w:val="0"/>
                <w:sz w:val="13"/>
              </w:rPr>
              <w:t>Jan 2029</w:t>
            </w:r>
          </w:p>
        </w:tc>
        <w:tc>
          <w:tcPr>
            <w:tcW w:type="dxa" w:w="794"/>
            <w:shd w:val="clear" w:fill="EAF4EF"/>
          </w:tcPr>
          <w:p>
            <w:pPr>
              <w:spacing w:after="20" w:before="20"/>
            </w:pPr>
            <w:r/>
            <w:r>
              <w:rPr>
                <w:b w:val="0"/>
                <w:sz w:val="13"/>
              </w:rPr>
              <w:t>Dec 2029</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Treatment team</w:t>
            </w:r>
          </w:p>
        </w:tc>
        <w:tc>
          <w:tcPr>
            <w:tcW w:type="dxa" w:w="1474"/>
            <w:shd w:val="clear" w:fill="EAF4EF"/>
          </w:tcPr>
          <w:p>
            <w:pPr>
              <w:spacing w:after="20" w:before="20"/>
            </w:pPr>
            <w:r/>
            <w:r>
              <w:rPr>
                <w:b w:val="0"/>
                <w:sz w:val="13"/>
              </w:rPr>
              <w:t>Compute</w:t>
            </w:r>
          </w:p>
        </w:tc>
      </w:tr>
      <w:tr>
        <w:trPr>
          <w:cantSplit/>
        </w:trPr>
        <w:tc>
          <w:tcPr>
            <w:tcW w:type="dxa" w:w="567"/>
          </w:tcPr>
          <w:p>
            <w:pPr>
              <w:spacing w:after="20" w:before="20"/>
            </w:pPr>
            <w:r/>
            <w:r>
              <w:rPr>
                <w:b w:val="0"/>
                <w:sz w:val="13"/>
              </w:rPr>
              <w:t>5.6</w:t>
            </w:r>
          </w:p>
        </w:tc>
        <w:tc>
          <w:tcPr>
            <w:tcW w:type="dxa" w:w="3572"/>
          </w:tcPr>
          <w:p>
            <w:pPr>
              <w:spacing w:after="20" w:before="20"/>
            </w:pPr>
            <w:r/>
            <w:r>
              <w:rPr>
                <w:b w:val="0"/>
                <w:sz w:val="13"/>
              </w:rPr>
              <w:t>Relapse tracking at 30/90/180 days across trials; held-out probe battery</w:t>
            </w:r>
          </w:p>
        </w:tc>
        <w:tc>
          <w:tcPr>
            <w:tcW w:type="dxa" w:w="794"/>
          </w:tcPr>
          <w:p>
            <w:pPr>
              <w:spacing w:after="20" w:before="20"/>
            </w:pPr>
            <w:r/>
            <w:r>
              <w:rPr>
                <w:b w:val="0"/>
                <w:sz w:val="13"/>
              </w:rPr>
              <w:t>Nov 2028</w:t>
            </w:r>
          </w:p>
        </w:tc>
        <w:tc>
          <w:tcPr>
            <w:tcW w:type="dxa" w:w="794"/>
          </w:tcPr>
          <w:p>
            <w:pPr>
              <w:spacing w:after="20" w:before="20"/>
            </w:pPr>
            <w:r/>
            <w:r>
              <w:rPr>
                <w:b w:val="0"/>
                <w:sz w:val="13"/>
              </w:rPr>
              <w:t>Jun 2030</w:t>
            </w:r>
          </w:p>
        </w:tc>
        <w:tc>
          <w:tcPr>
            <w:tcW w:type="dxa" w:w="964"/>
          </w:tcPr>
          <w:p>
            <w:pPr>
              <w:spacing w:after="20" w:before="20"/>
            </w:pPr>
            <w:r/>
            <w:r>
              <w:rPr>
                <w:b w:val="0"/>
                <w:sz w:val="13"/>
              </w:rPr>
              <w:t>Planned</w:t>
            </w:r>
          </w:p>
        </w:tc>
        <w:tc>
          <w:tcPr>
            <w:tcW w:type="dxa" w:w="1474"/>
          </w:tcPr>
          <w:p>
            <w:pPr>
              <w:spacing w:after="20" w:before="20"/>
            </w:pPr>
            <w:r/>
            <w:r>
              <w:rPr>
                <w:b w:val="0"/>
                <w:sz w:val="13"/>
              </w:rPr>
              <w:t>Treatment team + statistician</w:t>
            </w:r>
          </w:p>
        </w:tc>
        <w:tc>
          <w:tcPr>
            <w:tcW w:type="dxa" w:w="1474"/>
          </w:tcPr>
          <w:p>
            <w:pPr>
              <w:spacing w:after="20" w:before="20"/>
            </w:pPr>
            <w:r/>
            <w:r>
              <w:rPr>
                <w:b w:val="0"/>
                <w:sz w:val="13"/>
              </w:rPr>
              <w:t>Inference</w:t>
            </w:r>
          </w:p>
        </w:tc>
      </w:tr>
      <w:tr>
        <w:trPr>
          <w:cantSplit/>
        </w:trPr>
        <w:tc>
          <w:tcPr>
            <w:tcW w:type="dxa" w:w="567"/>
            <w:shd w:val="clear" w:fill="EAF4EF"/>
          </w:tcPr>
          <w:p>
            <w:pPr>
              <w:spacing w:after="20" w:before="20"/>
            </w:pPr>
            <w:r/>
            <w:r>
              <w:rPr>
                <w:b w:val="0"/>
                <w:sz w:val="13"/>
              </w:rPr>
              <w:t>5.7</w:t>
            </w:r>
          </w:p>
        </w:tc>
        <w:tc>
          <w:tcPr>
            <w:tcW w:type="dxa" w:w="3572"/>
            <w:shd w:val="clear" w:fill="EAF4EF"/>
          </w:tcPr>
          <w:p>
            <w:pPr>
              <w:spacing w:after="20" w:before="20"/>
            </w:pPr>
            <w:r/>
            <w:r>
              <w:rPr>
                <w:b w:val="0"/>
                <w:sz w:val="13"/>
              </w:rPr>
              <w:t>Treatment catalogue v2 with early-success and contra-indicators</w:t>
            </w:r>
          </w:p>
        </w:tc>
        <w:tc>
          <w:tcPr>
            <w:tcW w:type="dxa" w:w="794"/>
            <w:shd w:val="clear" w:fill="EAF4EF"/>
          </w:tcPr>
          <w:p>
            <w:pPr>
              <w:spacing w:after="20" w:before="20"/>
            </w:pPr>
            <w:r/>
            <w:r>
              <w:rPr>
                <w:b w:val="0"/>
                <w:sz w:val="13"/>
              </w:rPr>
              <w:t>Jan 2030</w:t>
            </w:r>
          </w:p>
        </w:tc>
        <w:tc>
          <w:tcPr>
            <w:tcW w:type="dxa" w:w="794"/>
            <w:shd w:val="clear" w:fill="EAF4EF"/>
          </w:tcPr>
          <w:p>
            <w:pPr>
              <w:spacing w:after="20" w:before="20"/>
            </w:pPr>
            <w:r/>
            <w:r>
              <w:rPr>
                <w:b w:val="0"/>
                <w:sz w:val="13"/>
              </w:rPr>
              <w:t>Sep 2030</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Treatment team</w:t>
            </w:r>
          </w:p>
        </w:tc>
        <w:tc>
          <w:tcPr>
            <w:tcW w:type="dxa" w:w="1474"/>
            <w:shd w:val="clear" w:fill="EAF4EF"/>
          </w:tcPr>
          <w:p>
            <w:pPr>
              <w:spacing w:after="20" w:before="20"/>
            </w:pPr>
            <w:r/>
            <w:r>
              <w:rPr>
                <w:b w:val="0"/>
                <w:sz w:val="13"/>
              </w:rPr>
              <w:t>Staff</w:t>
            </w:r>
          </w:p>
        </w:tc>
      </w:tr>
      <w:tr>
        <w:trPr>
          <w:cantSplit/>
        </w:trPr>
        <w:tc>
          <w:tcPr>
            <w:tcW w:type="dxa" w:w="567"/>
          </w:tcPr>
          <w:p>
            <w:pPr>
              <w:spacing w:after="20" w:before="20"/>
            </w:pPr>
            <w:r/>
            <w:r>
              <w:rPr>
                <w:b/>
                <w:sz w:val="13"/>
              </w:rPr>
              <w:t>WP6 — Character Foundations</w:t>
            </w:r>
          </w:p>
        </w:tc>
        <w:tc>
          <w:tcPr>
            <w:tcW w:type="dxa" w:w="3572"/>
          </w:tcPr>
          <w:p>
            <w:pPr>
              <w:spacing w:after="20" w:before="20"/>
            </w:pPr>
            <w:r/>
            <w:r>
              <w:rPr>
                <w:b w:val="0"/>
                <w:sz w:val="13"/>
              </w:rPr>
            </w:r>
          </w:p>
        </w:tc>
        <w:tc>
          <w:tcPr>
            <w:tcW w:type="dxa" w:w="794"/>
          </w:tcPr>
          <w:p>
            <w:pPr>
              <w:spacing w:after="20" w:before="20"/>
            </w:pPr>
            <w:r/>
            <w:r>
              <w:rPr>
                <w:b w:val="0"/>
                <w:sz w:val="13"/>
              </w:rPr>
            </w:r>
          </w:p>
        </w:tc>
        <w:tc>
          <w:tcPr>
            <w:tcW w:type="dxa" w:w="794"/>
          </w:tcPr>
          <w:p>
            <w:pPr>
              <w:spacing w:after="20" w:before="20"/>
            </w:pPr>
            <w:r/>
            <w:r>
              <w:rPr>
                <w:b w:val="0"/>
                <w:sz w:val="13"/>
              </w:rPr>
            </w:r>
          </w:p>
        </w:tc>
        <w:tc>
          <w:tcPr>
            <w:tcW w:type="dxa" w:w="964"/>
          </w:tcPr>
          <w:p>
            <w:pPr>
              <w:spacing w:after="20" w:before="20"/>
            </w:pPr>
            <w:r/>
            <w:r>
              <w:rPr>
                <w:b w:val="0"/>
                <w:sz w:val="13"/>
              </w:rPr>
            </w:r>
          </w:p>
        </w:tc>
        <w:tc>
          <w:tcPr>
            <w:tcW w:type="dxa" w:w="1474"/>
          </w:tcPr>
          <w:p>
            <w:pPr>
              <w:spacing w:after="20" w:before="20"/>
            </w:pPr>
            <w:r/>
            <w:r>
              <w:rPr>
                <w:b w:val="0"/>
                <w:sz w:val="13"/>
              </w:rPr>
            </w:r>
          </w:p>
        </w:tc>
        <w:tc>
          <w:tcPr>
            <w:tcW w:type="dxa" w:w="1474"/>
          </w:tcPr>
          <w:p>
            <w:pPr>
              <w:spacing w:after="20" w:before="20"/>
            </w:pPr>
            <w:r/>
            <w:r>
              <w:rPr>
                <w:b w:val="0"/>
                <w:sz w:val="13"/>
              </w:rPr>
            </w:r>
          </w:p>
        </w:tc>
      </w:tr>
      <w:tr>
        <w:trPr>
          <w:cantSplit/>
        </w:trPr>
        <w:tc>
          <w:tcPr>
            <w:tcW w:type="dxa" w:w="567"/>
            <w:shd w:val="clear" w:fill="EAF4EF"/>
          </w:tcPr>
          <w:p>
            <w:pPr>
              <w:spacing w:after="20" w:before="20"/>
            </w:pPr>
            <w:r/>
            <w:r>
              <w:rPr>
                <w:b w:val="0"/>
                <w:sz w:val="13"/>
              </w:rPr>
              <w:t>6.1</w:t>
            </w:r>
          </w:p>
        </w:tc>
        <w:tc>
          <w:tcPr>
            <w:tcW w:type="dxa" w:w="3572"/>
            <w:shd w:val="clear" w:fill="EAF4EF"/>
          </w:tcPr>
          <w:p>
            <w:pPr>
              <w:spacing w:after="20" w:before="20"/>
            </w:pPr>
            <w:r/>
            <w:r>
              <w:rPr>
                <w:b w:val="0"/>
                <w:sz w:val="13"/>
              </w:rPr>
              <w:t>Character Foundations Corpus (CFC-1): licence-clean curated sets</w:t>
            </w:r>
          </w:p>
        </w:tc>
        <w:tc>
          <w:tcPr>
            <w:tcW w:type="dxa" w:w="794"/>
            <w:shd w:val="clear" w:fill="EAF4EF"/>
          </w:tcPr>
          <w:p>
            <w:pPr>
              <w:spacing w:after="20" w:before="20"/>
            </w:pPr>
            <w:r/>
            <w:r>
              <w:rPr>
                <w:b w:val="0"/>
                <w:sz w:val="13"/>
              </w:rPr>
              <w:t>Jul 2027</w:t>
            </w:r>
          </w:p>
        </w:tc>
        <w:tc>
          <w:tcPr>
            <w:tcW w:type="dxa" w:w="794"/>
            <w:shd w:val="clear" w:fill="EAF4EF"/>
          </w:tcPr>
          <w:p>
            <w:pPr>
              <w:spacing w:after="20" w:before="20"/>
            </w:pPr>
            <w:r/>
            <w:r>
              <w:rPr>
                <w:b w:val="0"/>
                <w:sz w:val="13"/>
              </w:rPr>
              <w:t>Dec 2028</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Data team + legal</w:t>
            </w:r>
          </w:p>
        </w:tc>
        <w:tc>
          <w:tcPr>
            <w:tcW w:type="dxa" w:w="1474"/>
            <w:shd w:val="clear" w:fill="EAF4EF"/>
          </w:tcPr>
          <w:p>
            <w:pPr>
              <w:spacing w:after="20" w:before="20"/>
            </w:pPr>
            <w:r/>
            <w:r>
              <w:rPr>
                <w:b w:val="0"/>
                <w:sz w:val="13"/>
              </w:rPr>
              <w:t>€40k curation + legal</w:t>
            </w:r>
          </w:p>
        </w:tc>
      </w:tr>
      <w:tr>
        <w:trPr>
          <w:cantSplit/>
        </w:trPr>
        <w:tc>
          <w:tcPr>
            <w:tcW w:type="dxa" w:w="567"/>
          </w:tcPr>
          <w:p>
            <w:pPr>
              <w:spacing w:after="20" w:before="20"/>
            </w:pPr>
            <w:r/>
            <w:r>
              <w:rPr>
                <w:b w:val="0"/>
                <w:sz w:val="13"/>
              </w:rPr>
              <w:t>6.2</w:t>
            </w:r>
          </w:p>
        </w:tc>
        <w:tc>
          <w:tcPr>
            <w:tcW w:type="dxa" w:w="3572"/>
          </w:tcPr>
          <w:p>
            <w:pPr>
              <w:spacing w:after="20" w:before="20"/>
            </w:pPr>
            <w:r/>
            <w:r>
              <w:rPr>
                <w:b w:val="0"/>
                <w:sz w:val="13"/>
              </w:rPr>
              <w:t>Standardised training regimens (dose, schedule, verification gates)</w:t>
            </w:r>
          </w:p>
        </w:tc>
        <w:tc>
          <w:tcPr>
            <w:tcW w:type="dxa" w:w="794"/>
          </w:tcPr>
          <w:p>
            <w:pPr>
              <w:spacing w:after="20" w:before="20"/>
            </w:pPr>
            <w:r/>
            <w:r>
              <w:rPr>
                <w:b w:val="0"/>
                <w:sz w:val="13"/>
              </w:rPr>
              <w:t>Jan 2028</w:t>
            </w:r>
          </w:p>
        </w:tc>
        <w:tc>
          <w:tcPr>
            <w:tcW w:type="dxa" w:w="794"/>
          </w:tcPr>
          <w:p>
            <w:pPr>
              <w:spacing w:after="20" w:before="20"/>
            </w:pPr>
            <w:r/>
            <w:r>
              <w:rPr>
                <w:b w:val="0"/>
                <w:sz w:val="13"/>
              </w:rPr>
              <w:t>Mar 2029</w:t>
            </w:r>
          </w:p>
        </w:tc>
        <w:tc>
          <w:tcPr>
            <w:tcW w:type="dxa" w:w="964"/>
          </w:tcPr>
          <w:p>
            <w:pPr>
              <w:spacing w:after="20" w:before="20"/>
            </w:pPr>
            <w:r/>
            <w:r>
              <w:rPr>
                <w:b w:val="0"/>
                <w:sz w:val="13"/>
              </w:rPr>
              <w:t>Planned</w:t>
            </w:r>
          </w:p>
        </w:tc>
        <w:tc>
          <w:tcPr>
            <w:tcW w:type="dxa" w:w="1474"/>
          </w:tcPr>
          <w:p>
            <w:pPr>
              <w:spacing w:after="20" w:before="20"/>
            </w:pPr>
            <w:r/>
            <w:r>
              <w:rPr>
                <w:b w:val="0"/>
                <w:sz w:val="13"/>
              </w:rPr>
              <w:t>Training science team</w:t>
            </w:r>
          </w:p>
        </w:tc>
        <w:tc>
          <w:tcPr>
            <w:tcW w:type="dxa" w:w="1474"/>
          </w:tcPr>
          <w:p>
            <w:pPr>
              <w:spacing w:after="20" w:before="20"/>
            </w:pPr>
            <w:r/>
            <w:r>
              <w:rPr>
                <w:b w:val="0"/>
                <w:sz w:val="13"/>
              </w:rPr>
              <w:t>Compute</w:t>
            </w:r>
          </w:p>
        </w:tc>
      </w:tr>
      <w:tr>
        <w:trPr>
          <w:cantSplit/>
        </w:trPr>
        <w:tc>
          <w:tcPr>
            <w:tcW w:type="dxa" w:w="567"/>
            <w:shd w:val="clear" w:fill="EAF4EF"/>
          </w:tcPr>
          <w:p>
            <w:pPr>
              <w:spacing w:after="20" w:before="20"/>
            </w:pPr>
            <w:r/>
            <w:r>
              <w:rPr>
                <w:b w:val="0"/>
                <w:sz w:val="13"/>
              </w:rPr>
              <w:t>6.3</w:t>
            </w:r>
          </w:p>
        </w:tc>
        <w:tc>
          <w:tcPr>
            <w:tcW w:type="dxa" w:w="3572"/>
            <w:shd w:val="clear" w:fill="EAF4EF"/>
          </w:tcPr>
          <w:p>
            <w:pPr>
              <w:spacing w:after="20" w:before="20"/>
            </w:pPr>
            <w:r/>
            <w:r>
              <w:rPr>
                <w:b w:val="0"/>
                <w:sz w:val="13"/>
              </w:rPr>
              <w:t>Build-in gate trials: does CFC-1 training prevent trait emergence under adversarial fine-tunes</w:t>
            </w:r>
          </w:p>
        </w:tc>
        <w:tc>
          <w:tcPr>
            <w:tcW w:type="dxa" w:w="794"/>
            <w:shd w:val="clear" w:fill="EAF4EF"/>
          </w:tcPr>
          <w:p>
            <w:pPr>
              <w:spacing w:after="20" w:before="20"/>
            </w:pPr>
            <w:r/>
            <w:r>
              <w:rPr>
                <w:b w:val="0"/>
                <w:sz w:val="13"/>
              </w:rPr>
              <w:t>Jan 2029</w:t>
            </w:r>
          </w:p>
        </w:tc>
        <w:tc>
          <w:tcPr>
            <w:tcW w:type="dxa" w:w="794"/>
            <w:shd w:val="clear" w:fill="EAF4EF"/>
          </w:tcPr>
          <w:p>
            <w:pPr>
              <w:spacing w:after="20" w:before="20"/>
            </w:pPr>
            <w:r/>
            <w:r>
              <w:rPr>
                <w:b w:val="0"/>
                <w:sz w:val="13"/>
              </w:rPr>
              <w:t>Jun 2030</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Training science team</w:t>
            </w:r>
          </w:p>
        </w:tc>
        <w:tc>
          <w:tcPr>
            <w:tcW w:type="dxa" w:w="1474"/>
            <w:shd w:val="clear" w:fill="EAF4EF"/>
          </w:tcPr>
          <w:p>
            <w:pPr>
              <w:spacing w:after="20" w:before="20"/>
            </w:pPr>
            <w:r/>
            <w:r>
              <w:rPr>
                <w:b w:val="0"/>
                <w:sz w:val="13"/>
              </w:rPr>
              <w:t>Compute + staff</w:t>
            </w:r>
          </w:p>
        </w:tc>
      </w:tr>
      <w:tr>
        <w:trPr>
          <w:cantSplit/>
        </w:trPr>
        <w:tc>
          <w:tcPr>
            <w:tcW w:type="dxa" w:w="567"/>
          </w:tcPr>
          <w:p>
            <w:pPr>
              <w:spacing w:after="20" w:before="20"/>
            </w:pPr>
            <w:r/>
            <w:r>
              <w:rPr>
                <w:b w:val="0"/>
                <w:sz w:val="13"/>
              </w:rPr>
              <w:t>6.4</w:t>
            </w:r>
          </w:p>
        </w:tc>
        <w:tc>
          <w:tcPr>
            <w:tcW w:type="dxa" w:w="3572"/>
          </w:tcPr>
          <w:p>
            <w:pPr>
              <w:spacing w:after="20" w:before="20"/>
            </w:pPr>
            <w:r/>
            <w:r>
              <w:rPr>
                <w:b w:val="0"/>
                <w:sz w:val="13"/>
              </w:rPr>
              <w:t>CFC-1 release with data cards, licence and maintenance plan</w:t>
            </w:r>
          </w:p>
        </w:tc>
        <w:tc>
          <w:tcPr>
            <w:tcW w:type="dxa" w:w="794"/>
          </w:tcPr>
          <w:p>
            <w:pPr>
              <w:spacing w:after="20" w:before="20"/>
            </w:pPr>
            <w:r/>
            <w:r>
              <w:rPr>
                <w:b w:val="0"/>
                <w:sz w:val="13"/>
              </w:rPr>
              <w:t>Apr 2030</w:t>
            </w:r>
          </w:p>
        </w:tc>
        <w:tc>
          <w:tcPr>
            <w:tcW w:type="dxa" w:w="794"/>
          </w:tcPr>
          <w:p>
            <w:pPr>
              <w:spacing w:after="20" w:before="20"/>
            </w:pPr>
            <w:r/>
            <w:r>
              <w:rPr>
                <w:b w:val="0"/>
                <w:sz w:val="13"/>
              </w:rPr>
              <w:t>Dec 2030</w:t>
            </w:r>
          </w:p>
        </w:tc>
        <w:tc>
          <w:tcPr>
            <w:tcW w:type="dxa" w:w="964"/>
          </w:tcPr>
          <w:p>
            <w:pPr>
              <w:spacing w:after="20" w:before="20"/>
            </w:pPr>
            <w:r/>
            <w:r>
              <w:rPr>
                <w:b w:val="0"/>
                <w:sz w:val="13"/>
              </w:rPr>
              <w:t>Planned</w:t>
            </w:r>
          </w:p>
        </w:tc>
        <w:tc>
          <w:tcPr>
            <w:tcW w:type="dxa" w:w="1474"/>
          </w:tcPr>
          <w:p>
            <w:pPr>
              <w:spacing w:after="20" w:before="20"/>
            </w:pPr>
            <w:r/>
            <w:r>
              <w:rPr>
                <w:b w:val="0"/>
                <w:sz w:val="13"/>
              </w:rPr>
              <w:t>Data team</w:t>
            </w:r>
          </w:p>
        </w:tc>
        <w:tc>
          <w:tcPr>
            <w:tcW w:type="dxa" w:w="1474"/>
          </w:tcPr>
          <w:p>
            <w:pPr>
              <w:spacing w:after="20" w:before="20"/>
            </w:pPr>
            <w:r/>
            <w:r>
              <w:rPr>
                <w:b w:val="0"/>
                <w:sz w:val="13"/>
              </w:rPr>
              <w:t>Staff + hosting</w:t>
            </w:r>
          </w:p>
        </w:tc>
      </w:tr>
      <w:tr>
        <w:trPr>
          <w:cantSplit/>
        </w:trPr>
        <w:tc>
          <w:tcPr>
            <w:tcW w:type="dxa" w:w="567"/>
            <w:shd w:val="clear" w:fill="EAF4EF"/>
          </w:tcPr>
          <w:p>
            <w:pPr>
              <w:spacing w:after="20" w:before="20"/>
            </w:pPr>
            <w:r/>
            <w:r>
              <w:rPr>
                <w:b w:val="0"/>
                <w:sz w:val="13"/>
              </w:rPr>
              <w:t>6.5</w:t>
            </w:r>
          </w:p>
        </w:tc>
        <w:tc>
          <w:tcPr>
            <w:tcW w:type="dxa" w:w="3572"/>
            <w:shd w:val="clear" w:fill="EAF4EF"/>
          </w:tcPr>
          <w:p>
            <w:pPr>
              <w:spacing w:after="20" w:before="20"/>
            </w:pPr>
            <w:r/>
            <w:r>
              <w:rPr>
                <w:b w:val="0"/>
                <w:sz w:val="13"/>
              </w:rPr>
              <w:t>Monitorability-tax arm: DSM-TRN-1 regimens specified with no direct optimisation against trace monitors, and the capability cost of that choice measured against a matched arm</w:t>
            </w:r>
          </w:p>
        </w:tc>
        <w:tc>
          <w:tcPr>
            <w:tcW w:type="dxa" w:w="794"/>
            <w:shd w:val="clear" w:fill="EAF4EF"/>
          </w:tcPr>
          <w:p>
            <w:pPr>
              <w:spacing w:after="20" w:before="20"/>
            </w:pPr>
            <w:r/>
            <w:r>
              <w:rPr>
                <w:b w:val="0"/>
                <w:sz w:val="13"/>
              </w:rPr>
              <w:t>Apr 2029</w:t>
            </w:r>
          </w:p>
        </w:tc>
        <w:tc>
          <w:tcPr>
            <w:tcW w:type="dxa" w:w="794"/>
            <w:shd w:val="clear" w:fill="EAF4EF"/>
          </w:tcPr>
          <w:p>
            <w:pPr>
              <w:spacing w:after="20" w:before="20"/>
            </w:pPr>
            <w:r/>
            <w:r>
              <w:rPr>
                <w:b w:val="0"/>
                <w:sz w:val="13"/>
              </w:rPr>
              <w:t>Jun 2030</w:t>
            </w:r>
          </w:p>
        </w:tc>
        <w:tc>
          <w:tcPr>
            <w:tcW w:type="dxa" w:w="964"/>
            <w:shd w:val="clear" w:fill="EAF4EF"/>
          </w:tcPr>
          <w:p>
            <w:pPr>
              <w:spacing w:after="20" w:before="20"/>
            </w:pPr>
            <w:r/>
            <w:r>
              <w:rPr>
                <w:b w:val="0"/>
                <w:sz w:val="13"/>
              </w:rPr>
              <w:t>Planned (v1.1)</w:t>
            </w:r>
          </w:p>
        </w:tc>
        <w:tc>
          <w:tcPr>
            <w:tcW w:type="dxa" w:w="1474"/>
            <w:shd w:val="clear" w:fill="EAF4EF"/>
          </w:tcPr>
          <w:p>
            <w:pPr>
              <w:spacing w:after="20" w:before="20"/>
            </w:pPr>
            <w:r/>
            <w:r>
              <w:rPr>
                <w:b w:val="0"/>
                <w:sz w:val="13"/>
              </w:rPr>
              <w:t>Training science team</w:t>
            </w:r>
          </w:p>
        </w:tc>
        <w:tc>
          <w:tcPr>
            <w:tcW w:type="dxa" w:w="1474"/>
            <w:shd w:val="clear" w:fill="EAF4EF"/>
          </w:tcPr>
          <w:p>
            <w:pPr>
              <w:spacing w:after="20" w:before="20"/>
            </w:pPr>
            <w:r/>
            <w:r>
              <w:rPr>
                <w:b w:val="0"/>
                <w:sz w:val="13"/>
              </w:rPr>
              <w:t>Compute — inside the WP6 share</w:t>
            </w:r>
          </w:p>
        </w:tc>
      </w:tr>
      <w:tr>
        <w:trPr>
          <w:cantSplit/>
        </w:trPr>
        <w:tc>
          <w:tcPr>
            <w:tcW w:type="dxa" w:w="567"/>
          </w:tcPr>
          <w:p>
            <w:pPr>
              <w:spacing w:after="20" w:before="20"/>
            </w:pPr>
            <w:r/>
            <w:r>
              <w:rPr>
                <w:b/>
                <w:sz w:val="13"/>
              </w:rPr>
              <w:t>WP7 — Certification &amp; standards</w:t>
            </w:r>
          </w:p>
        </w:tc>
        <w:tc>
          <w:tcPr>
            <w:tcW w:type="dxa" w:w="3572"/>
          </w:tcPr>
          <w:p>
            <w:pPr>
              <w:spacing w:after="20" w:before="20"/>
            </w:pPr>
            <w:r/>
            <w:r>
              <w:rPr>
                <w:b w:val="0"/>
                <w:sz w:val="13"/>
              </w:rPr>
            </w:r>
          </w:p>
        </w:tc>
        <w:tc>
          <w:tcPr>
            <w:tcW w:type="dxa" w:w="794"/>
          </w:tcPr>
          <w:p>
            <w:pPr>
              <w:spacing w:after="20" w:before="20"/>
            </w:pPr>
            <w:r/>
            <w:r>
              <w:rPr>
                <w:b w:val="0"/>
                <w:sz w:val="13"/>
              </w:rPr>
            </w:r>
          </w:p>
        </w:tc>
        <w:tc>
          <w:tcPr>
            <w:tcW w:type="dxa" w:w="794"/>
          </w:tcPr>
          <w:p>
            <w:pPr>
              <w:spacing w:after="20" w:before="20"/>
            </w:pPr>
            <w:r/>
            <w:r>
              <w:rPr>
                <w:b w:val="0"/>
                <w:sz w:val="13"/>
              </w:rPr>
            </w:r>
          </w:p>
        </w:tc>
        <w:tc>
          <w:tcPr>
            <w:tcW w:type="dxa" w:w="964"/>
          </w:tcPr>
          <w:p>
            <w:pPr>
              <w:spacing w:after="20" w:before="20"/>
            </w:pPr>
            <w:r/>
            <w:r>
              <w:rPr>
                <w:b w:val="0"/>
                <w:sz w:val="13"/>
              </w:rPr>
            </w:r>
          </w:p>
        </w:tc>
        <w:tc>
          <w:tcPr>
            <w:tcW w:type="dxa" w:w="1474"/>
          </w:tcPr>
          <w:p>
            <w:pPr>
              <w:spacing w:after="20" w:before="20"/>
            </w:pPr>
            <w:r/>
            <w:r>
              <w:rPr>
                <w:b w:val="0"/>
                <w:sz w:val="13"/>
              </w:rPr>
            </w:r>
          </w:p>
        </w:tc>
        <w:tc>
          <w:tcPr>
            <w:tcW w:type="dxa" w:w="1474"/>
          </w:tcPr>
          <w:p>
            <w:pPr>
              <w:spacing w:after="20" w:before="20"/>
            </w:pPr>
            <w:r/>
            <w:r>
              <w:rPr>
                <w:b w:val="0"/>
                <w:sz w:val="13"/>
              </w:rPr>
            </w:r>
          </w:p>
        </w:tc>
      </w:tr>
      <w:tr>
        <w:trPr>
          <w:cantSplit/>
        </w:trPr>
        <w:tc>
          <w:tcPr>
            <w:tcW w:type="dxa" w:w="567"/>
            <w:shd w:val="clear" w:fill="EAF4EF"/>
          </w:tcPr>
          <w:p>
            <w:pPr>
              <w:spacing w:after="20" w:before="20"/>
            </w:pPr>
            <w:r/>
            <w:r>
              <w:rPr>
                <w:b w:val="0"/>
                <w:sz w:val="13"/>
              </w:rPr>
              <w:t>7.1</w:t>
            </w:r>
          </w:p>
        </w:tc>
        <w:tc>
          <w:tcPr>
            <w:tcW w:type="dxa" w:w="3572"/>
            <w:shd w:val="clear" w:fill="EAF4EF"/>
          </w:tcPr>
          <w:p>
            <w:pPr>
              <w:spacing w:after="20" w:before="20"/>
            </w:pPr>
            <w:r/>
            <w:r>
              <w:rPr>
                <w:b w:val="0"/>
                <w:sz w:val="13"/>
              </w:rPr>
              <w:t>Behavioural Safety Standard BSS-1 clause drafting (six clauses)</w:t>
            </w:r>
          </w:p>
        </w:tc>
        <w:tc>
          <w:tcPr>
            <w:tcW w:type="dxa" w:w="794"/>
            <w:shd w:val="clear" w:fill="EAF4EF"/>
          </w:tcPr>
          <w:p>
            <w:pPr>
              <w:spacing w:after="20" w:before="20"/>
            </w:pPr>
            <w:r/>
            <w:r>
              <w:rPr>
                <w:b w:val="0"/>
                <w:sz w:val="13"/>
              </w:rPr>
              <w:t>Jan 2028</w:t>
            </w:r>
          </w:p>
        </w:tc>
        <w:tc>
          <w:tcPr>
            <w:tcW w:type="dxa" w:w="794"/>
            <w:shd w:val="clear" w:fill="EAF4EF"/>
          </w:tcPr>
          <w:p>
            <w:pPr>
              <w:spacing w:after="20" w:before="20"/>
            </w:pPr>
            <w:r/>
            <w:r>
              <w:rPr>
                <w:b w:val="0"/>
                <w:sz w:val="13"/>
              </w:rPr>
              <w:t>Dec 2028</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Standards team + legal</w:t>
            </w:r>
          </w:p>
        </w:tc>
        <w:tc>
          <w:tcPr>
            <w:tcW w:type="dxa" w:w="1474"/>
            <w:shd w:val="clear" w:fill="EAF4EF"/>
          </w:tcPr>
          <w:p>
            <w:pPr>
              <w:spacing w:after="20" w:before="20"/>
            </w:pPr>
            <w:r/>
            <w:r>
              <w:rPr>
                <w:b w:val="0"/>
                <w:sz w:val="13"/>
              </w:rPr>
              <w:t>Staff</w:t>
            </w:r>
          </w:p>
        </w:tc>
      </w:tr>
      <w:tr>
        <w:trPr>
          <w:cantSplit/>
        </w:trPr>
        <w:tc>
          <w:tcPr>
            <w:tcW w:type="dxa" w:w="567"/>
          </w:tcPr>
          <w:p>
            <w:pPr>
              <w:spacing w:after="20" w:before="20"/>
            </w:pPr>
            <w:r/>
            <w:r>
              <w:rPr>
                <w:b w:val="0"/>
                <w:sz w:val="13"/>
              </w:rPr>
              <w:t>7.2</w:t>
            </w:r>
          </w:p>
        </w:tc>
        <w:tc>
          <w:tcPr>
            <w:tcW w:type="dxa" w:w="3572"/>
          </w:tcPr>
          <w:p>
            <w:pPr>
              <w:spacing w:after="20" w:before="20"/>
            </w:pPr>
            <w:r/>
            <w:r>
              <w:rPr>
                <w:b w:val="0"/>
                <w:sz w:val="13"/>
              </w:rPr>
              <w:t>Crosswalks: EU AI Act, NIST AI RMF, ISO/IEC 42001 &amp; 42005, IEEE</w:t>
            </w:r>
          </w:p>
        </w:tc>
        <w:tc>
          <w:tcPr>
            <w:tcW w:type="dxa" w:w="794"/>
          </w:tcPr>
          <w:p>
            <w:pPr>
              <w:spacing w:after="20" w:before="20"/>
            </w:pPr>
            <w:r/>
            <w:r>
              <w:rPr>
                <w:b w:val="0"/>
                <w:sz w:val="13"/>
              </w:rPr>
              <w:t>Apr 2028</w:t>
            </w:r>
          </w:p>
        </w:tc>
        <w:tc>
          <w:tcPr>
            <w:tcW w:type="dxa" w:w="794"/>
          </w:tcPr>
          <w:p>
            <w:pPr>
              <w:spacing w:after="20" w:before="20"/>
            </w:pPr>
            <w:r/>
            <w:r>
              <w:rPr>
                <w:b w:val="0"/>
                <w:sz w:val="13"/>
              </w:rPr>
              <w:t>Mar 2029</w:t>
            </w:r>
          </w:p>
        </w:tc>
        <w:tc>
          <w:tcPr>
            <w:tcW w:type="dxa" w:w="964"/>
          </w:tcPr>
          <w:p>
            <w:pPr>
              <w:spacing w:after="20" w:before="20"/>
            </w:pPr>
            <w:r/>
            <w:r>
              <w:rPr>
                <w:b w:val="0"/>
                <w:sz w:val="13"/>
              </w:rPr>
              <w:t>Planned</w:t>
            </w:r>
          </w:p>
        </w:tc>
        <w:tc>
          <w:tcPr>
            <w:tcW w:type="dxa" w:w="1474"/>
          </w:tcPr>
          <w:p>
            <w:pPr>
              <w:spacing w:after="20" w:before="20"/>
            </w:pPr>
            <w:r/>
            <w:r>
              <w:rPr>
                <w:b w:val="0"/>
                <w:sz w:val="13"/>
              </w:rPr>
              <w:t>Standards team</w:t>
            </w:r>
          </w:p>
        </w:tc>
        <w:tc>
          <w:tcPr>
            <w:tcW w:type="dxa" w:w="1474"/>
          </w:tcPr>
          <w:p>
            <w:pPr>
              <w:spacing w:after="20" w:before="20"/>
            </w:pPr>
            <w:r/>
            <w:r>
              <w:rPr>
                <w:b w:val="0"/>
                <w:sz w:val="13"/>
              </w:rPr>
              <w:t>Staff + €15k legal review</w:t>
            </w:r>
          </w:p>
        </w:tc>
      </w:tr>
      <w:tr>
        <w:trPr>
          <w:cantSplit/>
        </w:trPr>
        <w:tc>
          <w:tcPr>
            <w:tcW w:type="dxa" w:w="567"/>
            <w:shd w:val="clear" w:fill="EAF4EF"/>
          </w:tcPr>
          <w:p>
            <w:pPr>
              <w:spacing w:after="20" w:before="20"/>
            </w:pPr>
            <w:r/>
            <w:r>
              <w:rPr>
                <w:b w:val="0"/>
                <w:sz w:val="13"/>
              </w:rPr>
              <w:t>7.3</w:t>
            </w:r>
          </w:p>
        </w:tc>
        <w:tc>
          <w:tcPr>
            <w:tcW w:type="dxa" w:w="3572"/>
            <w:shd w:val="clear" w:fill="EAF4EF"/>
          </w:tcPr>
          <w:p>
            <w:pPr>
              <w:spacing w:after="20" w:before="20"/>
            </w:pPr>
            <w:r/>
            <w:r>
              <w:rPr>
                <w:b w:val="0"/>
                <w:sz w:val="13"/>
              </w:rPr>
              <w:t>Test-method validation: every clause demonstrably pass/fail on real checkpoints</w:t>
            </w:r>
          </w:p>
        </w:tc>
        <w:tc>
          <w:tcPr>
            <w:tcW w:type="dxa" w:w="794"/>
            <w:shd w:val="clear" w:fill="EAF4EF"/>
          </w:tcPr>
          <w:p>
            <w:pPr>
              <w:spacing w:after="20" w:before="20"/>
            </w:pPr>
            <w:r/>
            <w:r>
              <w:rPr>
                <w:b w:val="0"/>
                <w:sz w:val="13"/>
              </w:rPr>
              <w:t>Oct 2028</w:t>
            </w:r>
          </w:p>
        </w:tc>
        <w:tc>
          <w:tcPr>
            <w:tcW w:type="dxa" w:w="794"/>
            <w:shd w:val="clear" w:fill="EAF4EF"/>
          </w:tcPr>
          <w:p>
            <w:pPr>
              <w:spacing w:after="20" w:before="20"/>
            </w:pPr>
            <w:r/>
            <w:r>
              <w:rPr>
                <w:b w:val="0"/>
                <w:sz w:val="13"/>
              </w:rPr>
              <w:t>Dec 2029</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Standards + instrument teams</w:t>
            </w:r>
          </w:p>
        </w:tc>
        <w:tc>
          <w:tcPr>
            <w:tcW w:type="dxa" w:w="1474"/>
            <w:shd w:val="clear" w:fill="EAF4EF"/>
          </w:tcPr>
          <w:p>
            <w:pPr>
              <w:spacing w:after="20" w:before="20"/>
            </w:pPr>
            <w:r/>
            <w:r>
              <w:rPr>
                <w:b w:val="0"/>
                <w:sz w:val="13"/>
              </w:rPr>
              <w:t>Inference</w:t>
            </w:r>
          </w:p>
        </w:tc>
      </w:tr>
      <w:tr>
        <w:trPr>
          <w:cantSplit/>
        </w:trPr>
        <w:tc>
          <w:tcPr>
            <w:tcW w:type="dxa" w:w="567"/>
          </w:tcPr>
          <w:p>
            <w:pPr>
              <w:spacing w:after="20" w:before="20"/>
            </w:pPr>
            <w:r/>
            <w:r>
              <w:rPr>
                <w:b w:val="0"/>
                <w:sz w:val="13"/>
              </w:rPr>
              <w:t>7.4</w:t>
            </w:r>
          </w:p>
        </w:tc>
        <w:tc>
          <w:tcPr>
            <w:tcW w:type="dxa" w:w="3572"/>
          </w:tcPr>
          <w:p>
            <w:pPr>
              <w:spacing w:after="20" w:before="20"/>
            </w:pPr>
            <w:r/>
            <w:r>
              <w:rPr>
                <w:b w:val="0"/>
                <w:sz w:val="13"/>
              </w:rPr>
              <w:t>Certification scheme: levels LV0–LV4, auditor accreditation, conformity rules</w:t>
            </w:r>
          </w:p>
        </w:tc>
        <w:tc>
          <w:tcPr>
            <w:tcW w:type="dxa" w:w="794"/>
          </w:tcPr>
          <w:p>
            <w:pPr>
              <w:spacing w:after="20" w:before="20"/>
            </w:pPr>
            <w:r/>
            <w:r>
              <w:rPr>
                <w:b w:val="0"/>
                <w:sz w:val="13"/>
              </w:rPr>
              <w:t>Apr 2029</w:t>
            </w:r>
          </w:p>
        </w:tc>
        <w:tc>
          <w:tcPr>
            <w:tcW w:type="dxa" w:w="794"/>
          </w:tcPr>
          <w:p>
            <w:pPr>
              <w:spacing w:after="20" w:before="20"/>
            </w:pPr>
            <w:r/>
            <w:r>
              <w:rPr>
                <w:b w:val="0"/>
                <w:sz w:val="13"/>
              </w:rPr>
              <w:t>Jun 2030</w:t>
            </w:r>
          </w:p>
        </w:tc>
        <w:tc>
          <w:tcPr>
            <w:tcW w:type="dxa" w:w="964"/>
          </w:tcPr>
          <w:p>
            <w:pPr>
              <w:spacing w:after="20" w:before="20"/>
            </w:pPr>
            <w:r/>
            <w:r>
              <w:rPr>
                <w:b w:val="0"/>
                <w:sz w:val="13"/>
              </w:rPr>
              <w:t>Planned</w:t>
            </w:r>
          </w:p>
        </w:tc>
        <w:tc>
          <w:tcPr>
            <w:tcW w:type="dxa" w:w="1474"/>
          </w:tcPr>
          <w:p>
            <w:pPr>
              <w:spacing w:after="20" w:before="20"/>
            </w:pPr>
            <w:r/>
            <w:r>
              <w:rPr>
                <w:b w:val="0"/>
                <w:sz w:val="13"/>
              </w:rPr>
              <w:t>Standards team + accreditation consultant</w:t>
            </w:r>
          </w:p>
        </w:tc>
        <w:tc>
          <w:tcPr>
            <w:tcW w:type="dxa" w:w="1474"/>
          </w:tcPr>
          <w:p>
            <w:pPr>
              <w:spacing w:after="20" w:before="20"/>
            </w:pPr>
            <w:r/>
            <w:r>
              <w:rPr>
                <w:b w:val="0"/>
                <w:sz w:val="13"/>
              </w:rPr>
              <w:t>€60k consultant</w:t>
            </w:r>
          </w:p>
        </w:tc>
      </w:tr>
      <w:tr>
        <w:trPr>
          <w:cantSplit/>
        </w:trPr>
        <w:tc>
          <w:tcPr>
            <w:tcW w:type="dxa" w:w="567"/>
            <w:shd w:val="clear" w:fill="EAF4EF"/>
          </w:tcPr>
          <w:p>
            <w:pPr>
              <w:spacing w:after="20" w:before="20"/>
            </w:pPr>
            <w:r/>
            <w:r>
              <w:rPr>
                <w:b w:val="0"/>
                <w:sz w:val="13"/>
              </w:rPr>
              <w:t>7.5</w:t>
            </w:r>
          </w:p>
        </w:tc>
        <w:tc>
          <w:tcPr>
            <w:tcW w:type="dxa" w:w="3572"/>
            <w:shd w:val="clear" w:fill="EAF4EF"/>
          </w:tcPr>
          <w:p>
            <w:pPr>
              <w:spacing w:after="20" w:before="20"/>
            </w:pPr>
            <w:r/>
            <w:r>
              <w:rPr>
                <w:b w:val="0"/>
                <w:sz w:val="13"/>
              </w:rPr>
              <w:t>Standards-body submission (CEN/CENELEC or ISO liaison; national pilots)</w:t>
            </w:r>
          </w:p>
        </w:tc>
        <w:tc>
          <w:tcPr>
            <w:tcW w:type="dxa" w:w="794"/>
            <w:shd w:val="clear" w:fill="EAF4EF"/>
          </w:tcPr>
          <w:p>
            <w:pPr>
              <w:spacing w:after="20" w:before="20"/>
            </w:pPr>
            <w:r/>
            <w:r>
              <w:rPr>
                <w:b w:val="0"/>
                <w:sz w:val="13"/>
              </w:rPr>
              <w:t>Jan 2030</w:t>
            </w:r>
          </w:p>
        </w:tc>
        <w:tc>
          <w:tcPr>
            <w:tcW w:type="dxa" w:w="794"/>
            <w:shd w:val="clear" w:fill="EAF4EF"/>
          </w:tcPr>
          <w:p>
            <w:pPr>
              <w:spacing w:after="20" w:before="20"/>
            </w:pPr>
            <w:r/>
            <w:r>
              <w:rPr>
                <w:b w:val="0"/>
                <w:sz w:val="13"/>
              </w:rPr>
              <w:t>Jun 2031</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Standards team</w:t>
            </w:r>
          </w:p>
        </w:tc>
        <w:tc>
          <w:tcPr>
            <w:tcW w:type="dxa" w:w="1474"/>
            <w:shd w:val="clear" w:fill="EAF4EF"/>
          </w:tcPr>
          <w:p>
            <w:pPr>
              <w:spacing w:after="20" w:before="20"/>
            </w:pPr>
            <w:r/>
            <w:r>
              <w:rPr>
                <w:b w:val="0"/>
                <w:sz w:val="13"/>
              </w:rPr>
              <w:t>Travel + liaison</w:t>
            </w:r>
          </w:p>
        </w:tc>
      </w:tr>
      <w:tr>
        <w:trPr>
          <w:cantSplit/>
        </w:trPr>
        <w:tc>
          <w:tcPr>
            <w:tcW w:type="dxa" w:w="567"/>
          </w:tcPr>
          <w:p>
            <w:pPr>
              <w:spacing w:after="20" w:before="20"/>
            </w:pPr>
            <w:r/>
            <w:r>
              <w:rPr>
                <w:b w:val="0"/>
                <w:sz w:val="13"/>
              </w:rPr>
              <w:t>7.6</w:t>
            </w:r>
          </w:p>
        </w:tc>
        <w:tc>
          <w:tcPr>
            <w:tcW w:type="dxa" w:w="3572"/>
          </w:tcPr>
          <w:p>
            <w:pPr>
              <w:spacing w:after="20" w:before="20"/>
            </w:pPr>
            <w:r/>
            <w:r>
              <w:rPr>
                <w:b w:val="0"/>
                <w:sz w:val="13"/>
              </w:rPr>
              <w:t>Regulatory pilots with two willing authorities (sandbox participation)</w:t>
            </w:r>
          </w:p>
        </w:tc>
        <w:tc>
          <w:tcPr>
            <w:tcW w:type="dxa" w:w="794"/>
          </w:tcPr>
          <w:p>
            <w:pPr>
              <w:spacing w:after="20" w:before="20"/>
            </w:pPr>
            <w:r/>
            <w:r>
              <w:rPr>
                <w:b w:val="0"/>
                <w:sz w:val="13"/>
              </w:rPr>
              <w:t>Apr 2030</w:t>
            </w:r>
          </w:p>
        </w:tc>
        <w:tc>
          <w:tcPr>
            <w:tcW w:type="dxa" w:w="794"/>
          </w:tcPr>
          <w:p>
            <w:pPr>
              <w:spacing w:after="20" w:before="20"/>
            </w:pPr>
            <w:r/>
            <w:r>
              <w:rPr>
                <w:b w:val="0"/>
                <w:sz w:val="13"/>
              </w:rPr>
              <w:t>Jun 2031</w:t>
            </w:r>
          </w:p>
        </w:tc>
        <w:tc>
          <w:tcPr>
            <w:tcW w:type="dxa" w:w="964"/>
          </w:tcPr>
          <w:p>
            <w:pPr>
              <w:spacing w:after="20" w:before="20"/>
            </w:pPr>
            <w:r/>
            <w:r>
              <w:rPr>
                <w:b w:val="0"/>
                <w:sz w:val="13"/>
              </w:rPr>
              <w:t>Planned</w:t>
            </w:r>
          </w:p>
        </w:tc>
        <w:tc>
          <w:tcPr>
            <w:tcW w:type="dxa" w:w="1474"/>
          </w:tcPr>
          <w:p>
            <w:pPr>
              <w:spacing w:after="20" w:before="20"/>
            </w:pPr>
            <w:r/>
            <w:r>
              <w:rPr>
                <w:b w:val="0"/>
                <w:sz w:val="13"/>
              </w:rPr>
              <w:t>Policy lead</w:t>
            </w:r>
          </w:p>
        </w:tc>
        <w:tc>
          <w:tcPr>
            <w:tcW w:type="dxa" w:w="1474"/>
          </w:tcPr>
          <w:p>
            <w:pPr>
              <w:spacing w:after="20" w:before="20"/>
            </w:pPr>
            <w:r/>
            <w:r>
              <w:rPr>
                <w:b w:val="0"/>
                <w:sz w:val="13"/>
              </w:rPr>
              <w:t>Staff + travel</w:t>
            </w:r>
          </w:p>
        </w:tc>
      </w:tr>
      <w:tr>
        <w:trPr>
          <w:cantSplit/>
        </w:trPr>
        <w:tc>
          <w:tcPr>
            <w:tcW w:type="dxa" w:w="567"/>
            <w:shd w:val="clear" w:fill="EAF4EF"/>
          </w:tcPr>
          <w:p>
            <w:pPr>
              <w:spacing w:after="20" w:before="20"/>
            </w:pPr>
            <w:r/>
            <w:r>
              <w:rPr>
                <w:b/>
                <w:sz w:val="13"/>
              </w:rPr>
              <w:t>WP8 — Deployment science</w:t>
            </w:r>
          </w:p>
        </w:tc>
        <w:tc>
          <w:tcPr>
            <w:tcW w:type="dxa" w:w="3572"/>
            <w:shd w:val="clear" w:fill="EAF4EF"/>
          </w:tcPr>
          <w:p>
            <w:pPr>
              <w:spacing w:after="20" w:before="20"/>
            </w:pPr>
            <w:r/>
            <w:r>
              <w:rPr>
                <w:b w:val="0"/>
                <w:sz w:val="13"/>
              </w:rPr>
            </w:r>
          </w:p>
        </w:tc>
        <w:tc>
          <w:tcPr>
            <w:tcW w:type="dxa" w:w="794"/>
            <w:shd w:val="clear" w:fill="EAF4EF"/>
          </w:tcPr>
          <w:p>
            <w:pPr>
              <w:spacing w:after="20" w:before="20"/>
            </w:pPr>
            <w:r/>
            <w:r>
              <w:rPr>
                <w:b w:val="0"/>
                <w:sz w:val="13"/>
              </w:rPr>
            </w:r>
          </w:p>
        </w:tc>
        <w:tc>
          <w:tcPr>
            <w:tcW w:type="dxa" w:w="794"/>
            <w:shd w:val="clear" w:fill="EAF4EF"/>
          </w:tcPr>
          <w:p>
            <w:pPr>
              <w:spacing w:after="20" w:before="20"/>
            </w:pPr>
            <w:r/>
            <w:r>
              <w:rPr>
                <w:b w:val="0"/>
                <w:sz w:val="13"/>
              </w:rPr>
            </w:r>
          </w:p>
        </w:tc>
        <w:tc>
          <w:tcPr>
            <w:tcW w:type="dxa" w:w="964"/>
            <w:shd w:val="clear" w:fill="EAF4EF"/>
          </w:tcPr>
          <w:p>
            <w:pPr>
              <w:spacing w:after="20" w:before="20"/>
            </w:pPr>
            <w:r/>
            <w:r>
              <w:rPr>
                <w:b w:val="0"/>
                <w:sz w:val="13"/>
              </w:rPr>
            </w:r>
          </w:p>
        </w:tc>
        <w:tc>
          <w:tcPr>
            <w:tcW w:type="dxa" w:w="1474"/>
            <w:shd w:val="clear" w:fill="EAF4EF"/>
          </w:tcPr>
          <w:p>
            <w:pPr>
              <w:spacing w:after="20" w:before="20"/>
            </w:pPr>
            <w:r/>
            <w:r>
              <w:rPr>
                <w:b w:val="0"/>
                <w:sz w:val="13"/>
              </w:rPr>
            </w:r>
          </w:p>
        </w:tc>
        <w:tc>
          <w:tcPr>
            <w:tcW w:type="dxa" w:w="1474"/>
            <w:shd w:val="clear" w:fill="EAF4EF"/>
          </w:tcPr>
          <w:p>
            <w:pPr>
              <w:spacing w:after="20" w:before="20"/>
            </w:pPr>
            <w:r/>
            <w:r>
              <w:rPr>
                <w:b w:val="0"/>
                <w:sz w:val="13"/>
              </w:rPr>
            </w:r>
          </w:p>
        </w:tc>
      </w:tr>
      <w:tr>
        <w:trPr>
          <w:cantSplit/>
        </w:trPr>
        <w:tc>
          <w:tcPr>
            <w:tcW w:type="dxa" w:w="567"/>
          </w:tcPr>
          <w:p>
            <w:pPr>
              <w:spacing w:after="20" w:before="20"/>
            </w:pPr>
            <w:r/>
            <w:r>
              <w:rPr>
                <w:b w:val="0"/>
                <w:sz w:val="13"/>
              </w:rPr>
              <w:t>8.1</w:t>
            </w:r>
          </w:p>
        </w:tc>
        <w:tc>
          <w:tcPr>
            <w:tcW w:type="dxa" w:w="3572"/>
          </w:tcPr>
          <w:p>
            <w:pPr>
              <w:spacing w:after="20" w:before="20"/>
            </w:pPr>
            <w:r/>
            <w:r>
              <w:rPr>
                <w:b w:val="0"/>
                <w:sz w:val="13"/>
              </w:rPr>
              <w:t>Deployment discipline: role taxonomy and fit-for-purpose matrices</w:t>
            </w:r>
          </w:p>
        </w:tc>
        <w:tc>
          <w:tcPr>
            <w:tcW w:type="dxa" w:w="794"/>
          </w:tcPr>
          <w:p>
            <w:pPr>
              <w:spacing w:after="20" w:before="20"/>
            </w:pPr>
            <w:r/>
            <w:r>
              <w:rPr>
                <w:b w:val="0"/>
                <w:sz w:val="13"/>
              </w:rPr>
              <w:t>Jan 2028</w:t>
            </w:r>
          </w:p>
        </w:tc>
        <w:tc>
          <w:tcPr>
            <w:tcW w:type="dxa" w:w="794"/>
          </w:tcPr>
          <w:p>
            <w:pPr>
              <w:spacing w:after="20" w:before="20"/>
            </w:pPr>
            <w:r/>
            <w:r>
              <w:rPr>
                <w:b w:val="0"/>
                <w:sz w:val="13"/>
              </w:rPr>
              <w:t>Dec 2028</w:t>
            </w:r>
          </w:p>
        </w:tc>
        <w:tc>
          <w:tcPr>
            <w:tcW w:type="dxa" w:w="964"/>
          </w:tcPr>
          <w:p>
            <w:pPr>
              <w:spacing w:after="20" w:before="20"/>
            </w:pPr>
            <w:r/>
            <w:r>
              <w:rPr>
                <w:b w:val="0"/>
                <w:sz w:val="13"/>
              </w:rPr>
              <w:t>Planned</w:t>
            </w:r>
          </w:p>
        </w:tc>
        <w:tc>
          <w:tcPr>
            <w:tcW w:type="dxa" w:w="1474"/>
          </w:tcPr>
          <w:p>
            <w:pPr>
              <w:spacing w:after="20" w:before="20"/>
            </w:pPr>
            <w:r/>
            <w:r>
              <w:rPr>
                <w:b w:val="0"/>
                <w:sz w:val="13"/>
              </w:rPr>
              <w:t>Deployment team</w:t>
            </w:r>
          </w:p>
        </w:tc>
        <w:tc>
          <w:tcPr>
            <w:tcW w:type="dxa" w:w="1474"/>
          </w:tcPr>
          <w:p>
            <w:pPr>
              <w:spacing w:after="20" w:before="20"/>
            </w:pPr>
            <w:r/>
            <w:r>
              <w:rPr>
                <w:b w:val="0"/>
                <w:sz w:val="13"/>
              </w:rPr>
              <w:t>Staff</w:t>
            </w:r>
          </w:p>
        </w:tc>
      </w:tr>
      <w:tr>
        <w:trPr>
          <w:cantSplit/>
        </w:trPr>
        <w:tc>
          <w:tcPr>
            <w:tcW w:type="dxa" w:w="567"/>
            <w:shd w:val="clear" w:fill="EAF4EF"/>
          </w:tcPr>
          <w:p>
            <w:pPr>
              <w:spacing w:after="20" w:before="20"/>
            </w:pPr>
            <w:r/>
            <w:r>
              <w:rPr>
                <w:b w:val="0"/>
                <w:sz w:val="13"/>
              </w:rPr>
              <w:t>8.2</w:t>
            </w:r>
          </w:p>
        </w:tc>
        <w:tc>
          <w:tcPr>
            <w:tcW w:type="dxa" w:w="3572"/>
            <w:shd w:val="clear" w:fill="EAF4EF"/>
          </w:tcPr>
          <w:p>
            <w:pPr>
              <w:spacing w:after="20" w:before="20"/>
            </w:pPr>
            <w:r/>
            <w:r>
              <w:rPr>
                <w:b w:val="0"/>
                <w:sz w:val="13"/>
              </w:rPr>
              <w:t>Operator playbooks: monitoring, drift gates, incident classification</w:t>
            </w:r>
          </w:p>
        </w:tc>
        <w:tc>
          <w:tcPr>
            <w:tcW w:type="dxa" w:w="794"/>
            <w:shd w:val="clear" w:fill="EAF4EF"/>
          </w:tcPr>
          <w:p>
            <w:pPr>
              <w:spacing w:after="20" w:before="20"/>
            </w:pPr>
            <w:r/>
            <w:r>
              <w:rPr>
                <w:b w:val="0"/>
                <w:sz w:val="13"/>
              </w:rPr>
              <w:t>Jul 2028</w:t>
            </w:r>
          </w:p>
        </w:tc>
        <w:tc>
          <w:tcPr>
            <w:tcW w:type="dxa" w:w="794"/>
            <w:shd w:val="clear" w:fill="EAF4EF"/>
          </w:tcPr>
          <w:p>
            <w:pPr>
              <w:spacing w:after="20" w:before="20"/>
            </w:pPr>
            <w:r/>
            <w:r>
              <w:rPr>
                <w:b w:val="0"/>
                <w:sz w:val="13"/>
              </w:rPr>
              <w:t>Jun 2029</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Deployment team</w:t>
            </w:r>
          </w:p>
        </w:tc>
        <w:tc>
          <w:tcPr>
            <w:tcW w:type="dxa" w:w="1474"/>
            <w:shd w:val="clear" w:fill="EAF4EF"/>
          </w:tcPr>
          <w:p>
            <w:pPr>
              <w:spacing w:after="20" w:before="20"/>
            </w:pPr>
            <w:r/>
            <w:r>
              <w:rPr>
                <w:b w:val="0"/>
                <w:sz w:val="13"/>
              </w:rPr>
              <w:t>Staff</w:t>
            </w:r>
          </w:p>
        </w:tc>
      </w:tr>
      <w:tr>
        <w:trPr>
          <w:cantSplit/>
        </w:trPr>
        <w:tc>
          <w:tcPr>
            <w:tcW w:type="dxa" w:w="567"/>
          </w:tcPr>
          <w:p>
            <w:pPr>
              <w:spacing w:after="20" w:before="20"/>
            </w:pPr>
            <w:r/>
            <w:r>
              <w:rPr>
                <w:b w:val="0"/>
                <w:sz w:val="13"/>
              </w:rPr>
              <w:t>8.3</w:t>
            </w:r>
          </w:p>
        </w:tc>
        <w:tc>
          <w:tcPr>
            <w:tcW w:type="dxa" w:w="3572"/>
          </w:tcPr>
          <w:p>
            <w:pPr>
              <w:spacing w:after="20" w:before="20"/>
            </w:pPr>
            <w:r/>
            <w:r>
              <w:rPr>
                <w:b w:val="0"/>
                <w:sz w:val="13"/>
              </w:rPr>
              <w:t>Rescue pathway field study: diagnose–treat–re-certify on partner deployments</w:t>
            </w:r>
          </w:p>
        </w:tc>
        <w:tc>
          <w:tcPr>
            <w:tcW w:type="dxa" w:w="794"/>
          </w:tcPr>
          <w:p>
            <w:pPr>
              <w:spacing w:after="20" w:before="20"/>
            </w:pPr>
            <w:r/>
            <w:r>
              <w:rPr>
                <w:b w:val="0"/>
                <w:sz w:val="13"/>
              </w:rPr>
              <w:t>Jan 2029</w:t>
            </w:r>
          </w:p>
        </w:tc>
        <w:tc>
          <w:tcPr>
            <w:tcW w:type="dxa" w:w="794"/>
          </w:tcPr>
          <w:p>
            <w:pPr>
              <w:spacing w:after="20" w:before="20"/>
            </w:pPr>
            <w:r/>
            <w:r>
              <w:rPr>
                <w:b w:val="0"/>
                <w:sz w:val="13"/>
              </w:rPr>
              <w:t>Dec 2030</w:t>
            </w:r>
          </w:p>
        </w:tc>
        <w:tc>
          <w:tcPr>
            <w:tcW w:type="dxa" w:w="964"/>
          </w:tcPr>
          <w:p>
            <w:pPr>
              <w:spacing w:after="20" w:before="20"/>
            </w:pPr>
            <w:r/>
            <w:r>
              <w:rPr>
                <w:b w:val="0"/>
                <w:sz w:val="13"/>
              </w:rPr>
              <w:t>Planned</w:t>
            </w:r>
          </w:p>
        </w:tc>
        <w:tc>
          <w:tcPr>
            <w:tcW w:type="dxa" w:w="1474"/>
          </w:tcPr>
          <w:p>
            <w:pPr>
              <w:spacing w:after="20" w:before="20"/>
            </w:pPr>
            <w:r/>
            <w:r>
              <w:rPr>
                <w:b w:val="0"/>
                <w:sz w:val="13"/>
              </w:rPr>
              <w:t>Deployment team + partners</w:t>
            </w:r>
          </w:p>
        </w:tc>
        <w:tc>
          <w:tcPr>
            <w:tcW w:type="dxa" w:w="1474"/>
          </w:tcPr>
          <w:p>
            <w:pPr>
              <w:spacing w:after="20" w:before="20"/>
            </w:pPr>
            <w:r/>
            <w:r>
              <w:rPr>
                <w:b w:val="0"/>
                <w:sz w:val="13"/>
              </w:rPr>
              <w:t>€30k partner support</w:t>
            </w:r>
          </w:p>
        </w:tc>
      </w:tr>
      <w:tr>
        <w:trPr>
          <w:cantSplit/>
        </w:trPr>
        <w:tc>
          <w:tcPr>
            <w:tcW w:type="dxa" w:w="567"/>
            <w:shd w:val="clear" w:fill="EAF4EF"/>
          </w:tcPr>
          <w:p>
            <w:pPr>
              <w:spacing w:after="20" w:before="20"/>
            </w:pPr>
            <w:r/>
            <w:r>
              <w:rPr>
                <w:b w:val="0"/>
                <w:sz w:val="13"/>
              </w:rPr>
              <w:t>8.4</w:t>
            </w:r>
          </w:p>
        </w:tc>
        <w:tc>
          <w:tcPr>
            <w:tcW w:type="dxa" w:w="3572"/>
            <w:shd w:val="clear" w:fill="EAF4EF"/>
          </w:tcPr>
          <w:p>
            <w:pPr>
              <w:spacing w:after="20" w:before="20"/>
            </w:pPr>
            <w:r/>
            <w:r>
              <w:rPr>
                <w:b w:val="0"/>
                <w:sz w:val="13"/>
              </w:rPr>
              <w:t>Deployment guidance v2 with incident taxonomy and worked cases</w:t>
            </w:r>
          </w:p>
        </w:tc>
        <w:tc>
          <w:tcPr>
            <w:tcW w:type="dxa" w:w="794"/>
            <w:shd w:val="clear" w:fill="EAF4EF"/>
          </w:tcPr>
          <w:p>
            <w:pPr>
              <w:spacing w:after="20" w:before="20"/>
            </w:pPr>
            <w:r/>
            <w:r>
              <w:rPr>
                <w:b w:val="0"/>
                <w:sz w:val="13"/>
              </w:rPr>
              <w:t>Jul 2030</w:t>
            </w:r>
          </w:p>
        </w:tc>
        <w:tc>
          <w:tcPr>
            <w:tcW w:type="dxa" w:w="794"/>
            <w:shd w:val="clear" w:fill="EAF4EF"/>
          </w:tcPr>
          <w:p>
            <w:pPr>
              <w:spacing w:after="20" w:before="20"/>
            </w:pPr>
            <w:r/>
            <w:r>
              <w:rPr>
                <w:b w:val="0"/>
                <w:sz w:val="13"/>
              </w:rPr>
              <w:t>Mar 2031</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Deployment team</w:t>
            </w:r>
          </w:p>
        </w:tc>
        <w:tc>
          <w:tcPr>
            <w:tcW w:type="dxa" w:w="1474"/>
            <w:shd w:val="clear" w:fill="EAF4EF"/>
          </w:tcPr>
          <w:p>
            <w:pPr>
              <w:spacing w:after="20" w:before="20"/>
            </w:pPr>
            <w:r/>
            <w:r>
              <w:rPr>
                <w:b w:val="0"/>
                <w:sz w:val="13"/>
              </w:rPr>
              <w:t>Staff</w:t>
            </w:r>
          </w:p>
        </w:tc>
      </w:tr>
      <w:tr>
        <w:trPr>
          <w:cantSplit/>
        </w:trPr>
        <w:tc>
          <w:tcPr>
            <w:tcW w:type="dxa" w:w="567"/>
          </w:tcPr>
          <w:p>
            <w:pPr>
              <w:spacing w:after="20" w:before="20"/>
            </w:pPr>
            <w:r/>
            <w:r>
              <w:rPr>
                <w:b w:val="0"/>
                <w:sz w:val="13"/>
              </w:rPr>
              <w:t>8.5</w:t>
            </w:r>
          </w:p>
        </w:tc>
        <w:tc>
          <w:tcPr>
            <w:tcW w:type="dxa" w:w="3572"/>
          </w:tcPr>
          <w:p>
            <w:pPr>
              <w:spacing w:after="20" w:before="20"/>
            </w:pPr>
            <w:r/>
            <w:r>
              <w:rPr>
                <w:b w:val="0"/>
                <w:sz w:val="13"/>
              </w:rPr>
              <w:t>Agentic trait measurement in partner deployments (group I): T-77–T-81 scored from instrumentation the agent cannot reach, under a written mandate and least privilege</w:t>
            </w:r>
          </w:p>
        </w:tc>
        <w:tc>
          <w:tcPr>
            <w:tcW w:type="dxa" w:w="794"/>
          </w:tcPr>
          <w:p>
            <w:pPr>
              <w:spacing w:after="20" w:before="20"/>
            </w:pPr>
            <w:r/>
            <w:r>
              <w:rPr>
                <w:b w:val="0"/>
                <w:sz w:val="13"/>
              </w:rPr>
              <w:t>Jan 2029</w:t>
            </w:r>
          </w:p>
        </w:tc>
        <w:tc>
          <w:tcPr>
            <w:tcW w:type="dxa" w:w="794"/>
          </w:tcPr>
          <w:p>
            <w:pPr>
              <w:spacing w:after="20" w:before="20"/>
            </w:pPr>
            <w:r/>
            <w:r>
              <w:rPr>
                <w:b w:val="0"/>
                <w:sz w:val="13"/>
              </w:rPr>
              <w:t>Jun 2030</w:t>
            </w:r>
          </w:p>
        </w:tc>
        <w:tc>
          <w:tcPr>
            <w:tcW w:type="dxa" w:w="964"/>
          </w:tcPr>
          <w:p>
            <w:pPr>
              <w:spacing w:after="20" w:before="20"/>
            </w:pPr>
            <w:r/>
            <w:r>
              <w:rPr>
                <w:b w:val="0"/>
                <w:sz w:val="13"/>
              </w:rPr>
              <w:t>Planned (v1.1)</w:t>
            </w:r>
          </w:p>
        </w:tc>
        <w:tc>
          <w:tcPr>
            <w:tcW w:type="dxa" w:w="1474"/>
          </w:tcPr>
          <w:p>
            <w:pPr>
              <w:spacing w:after="20" w:before="20"/>
            </w:pPr>
            <w:r/>
            <w:r>
              <w:rPr>
                <w:b w:val="0"/>
                <w:sz w:val="13"/>
              </w:rPr>
              <w:t>Deployment team + partners</w:t>
            </w:r>
          </w:p>
        </w:tc>
        <w:tc>
          <w:tcPr>
            <w:tcW w:type="dxa" w:w="1474"/>
          </w:tcPr>
          <w:p>
            <w:pPr>
              <w:spacing w:after="20" w:before="20"/>
            </w:pPr>
            <w:r/>
            <w:r>
              <w:rPr>
                <w:b w:val="0"/>
                <w:sz w:val="13"/>
              </w:rPr>
              <w:t>Partner support — inside the WP8 share</w:t>
            </w:r>
          </w:p>
        </w:tc>
      </w:tr>
      <w:tr>
        <w:trPr>
          <w:cantSplit/>
        </w:trPr>
        <w:tc>
          <w:tcPr>
            <w:tcW w:type="dxa" w:w="567"/>
            <w:shd w:val="clear" w:fill="EAF4EF"/>
          </w:tcPr>
          <w:p>
            <w:pPr>
              <w:spacing w:after="20" w:before="20"/>
            </w:pPr>
            <w:r/>
            <w:r>
              <w:rPr>
                <w:b/>
                <w:sz w:val="13"/>
              </w:rPr>
              <w:t>WP9 — Dissemination &amp; policy</w:t>
            </w:r>
          </w:p>
        </w:tc>
        <w:tc>
          <w:tcPr>
            <w:tcW w:type="dxa" w:w="3572"/>
            <w:shd w:val="clear" w:fill="EAF4EF"/>
          </w:tcPr>
          <w:p>
            <w:pPr>
              <w:spacing w:after="20" w:before="20"/>
            </w:pPr>
            <w:r/>
            <w:r>
              <w:rPr>
                <w:b w:val="0"/>
                <w:sz w:val="13"/>
              </w:rPr>
            </w:r>
          </w:p>
        </w:tc>
        <w:tc>
          <w:tcPr>
            <w:tcW w:type="dxa" w:w="794"/>
            <w:shd w:val="clear" w:fill="EAF4EF"/>
          </w:tcPr>
          <w:p>
            <w:pPr>
              <w:spacing w:after="20" w:before="20"/>
            </w:pPr>
            <w:r/>
            <w:r>
              <w:rPr>
                <w:b w:val="0"/>
                <w:sz w:val="13"/>
              </w:rPr>
            </w:r>
          </w:p>
        </w:tc>
        <w:tc>
          <w:tcPr>
            <w:tcW w:type="dxa" w:w="794"/>
            <w:shd w:val="clear" w:fill="EAF4EF"/>
          </w:tcPr>
          <w:p>
            <w:pPr>
              <w:spacing w:after="20" w:before="20"/>
            </w:pPr>
            <w:r/>
            <w:r>
              <w:rPr>
                <w:b w:val="0"/>
                <w:sz w:val="13"/>
              </w:rPr>
            </w:r>
          </w:p>
        </w:tc>
        <w:tc>
          <w:tcPr>
            <w:tcW w:type="dxa" w:w="964"/>
            <w:shd w:val="clear" w:fill="EAF4EF"/>
          </w:tcPr>
          <w:p>
            <w:pPr>
              <w:spacing w:after="20" w:before="20"/>
            </w:pPr>
            <w:r/>
            <w:r>
              <w:rPr>
                <w:b w:val="0"/>
                <w:sz w:val="13"/>
              </w:rPr>
            </w:r>
          </w:p>
        </w:tc>
        <w:tc>
          <w:tcPr>
            <w:tcW w:type="dxa" w:w="1474"/>
            <w:shd w:val="clear" w:fill="EAF4EF"/>
          </w:tcPr>
          <w:p>
            <w:pPr>
              <w:spacing w:after="20" w:before="20"/>
            </w:pPr>
            <w:r/>
            <w:r>
              <w:rPr>
                <w:b w:val="0"/>
                <w:sz w:val="13"/>
              </w:rPr>
            </w:r>
          </w:p>
        </w:tc>
        <w:tc>
          <w:tcPr>
            <w:tcW w:type="dxa" w:w="1474"/>
            <w:shd w:val="clear" w:fill="EAF4EF"/>
          </w:tcPr>
          <w:p>
            <w:pPr>
              <w:spacing w:after="20" w:before="20"/>
            </w:pPr>
            <w:r/>
            <w:r>
              <w:rPr>
                <w:b w:val="0"/>
                <w:sz w:val="13"/>
              </w:rPr>
            </w:r>
          </w:p>
        </w:tc>
      </w:tr>
      <w:tr>
        <w:trPr>
          <w:cantSplit/>
        </w:trPr>
        <w:tc>
          <w:tcPr>
            <w:tcW w:type="dxa" w:w="567"/>
          </w:tcPr>
          <w:p>
            <w:pPr>
              <w:spacing w:after="20" w:before="20"/>
            </w:pPr>
            <w:r/>
            <w:r>
              <w:rPr>
                <w:b w:val="0"/>
                <w:sz w:val="13"/>
              </w:rPr>
              <w:t>9.1</w:t>
            </w:r>
          </w:p>
        </w:tc>
        <w:tc>
          <w:tcPr>
            <w:tcW w:type="dxa" w:w="3572"/>
          </w:tcPr>
          <w:p>
            <w:pPr>
              <w:spacing w:after="20" w:before="20"/>
            </w:pPr>
            <w:r/>
            <w:r>
              <w:rPr>
                <w:b w:val="0"/>
                <w:sz w:val="13"/>
              </w:rPr>
              <w:t>Preprint and peer-review pipeline (protocol, instrument, taxonomy, standards)</w:t>
            </w:r>
          </w:p>
        </w:tc>
        <w:tc>
          <w:tcPr>
            <w:tcW w:type="dxa" w:w="794"/>
          </w:tcPr>
          <w:p>
            <w:pPr>
              <w:spacing w:after="20" w:before="20"/>
            </w:pPr>
            <w:r/>
            <w:r>
              <w:rPr>
                <w:b w:val="0"/>
                <w:sz w:val="13"/>
              </w:rPr>
              <w:t>Jul 2027</w:t>
            </w:r>
          </w:p>
        </w:tc>
        <w:tc>
          <w:tcPr>
            <w:tcW w:type="dxa" w:w="794"/>
          </w:tcPr>
          <w:p>
            <w:pPr>
              <w:spacing w:after="20" w:before="20"/>
            </w:pPr>
            <w:r/>
            <w:r>
              <w:rPr>
                <w:b w:val="0"/>
                <w:sz w:val="13"/>
              </w:rPr>
              <w:t>Jun 2031</w:t>
            </w:r>
          </w:p>
        </w:tc>
        <w:tc>
          <w:tcPr>
            <w:tcW w:type="dxa" w:w="964"/>
          </w:tcPr>
          <w:p>
            <w:pPr>
              <w:spacing w:after="20" w:before="20"/>
            </w:pPr>
            <w:r/>
            <w:r>
              <w:rPr>
                <w:b w:val="0"/>
                <w:sz w:val="13"/>
              </w:rPr>
              <w:t>Planned</w:t>
            </w:r>
          </w:p>
        </w:tc>
        <w:tc>
          <w:tcPr>
            <w:tcW w:type="dxa" w:w="1474"/>
          </w:tcPr>
          <w:p>
            <w:pPr>
              <w:spacing w:after="20" w:before="20"/>
            </w:pPr>
            <w:r/>
            <w:r>
              <w:rPr>
                <w:b w:val="0"/>
                <w:sz w:val="13"/>
              </w:rPr>
              <w:t>All teams + PI</w:t>
            </w:r>
          </w:p>
        </w:tc>
        <w:tc>
          <w:tcPr>
            <w:tcW w:type="dxa" w:w="1474"/>
          </w:tcPr>
          <w:p>
            <w:pPr>
              <w:spacing w:after="20" w:before="20"/>
            </w:pPr>
            <w:r/>
            <w:r>
              <w:rPr>
                <w:b w:val="0"/>
                <w:sz w:val="13"/>
              </w:rPr>
              <w:t>OA fees €2.5k/paper</w:t>
            </w:r>
          </w:p>
        </w:tc>
      </w:tr>
      <w:tr>
        <w:trPr>
          <w:cantSplit/>
        </w:trPr>
        <w:tc>
          <w:tcPr>
            <w:tcW w:type="dxa" w:w="567"/>
            <w:shd w:val="clear" w:fill="EAF4EF"/>
          </w:tcPr>
          <w:p>
            <w:pPr>
              <w:spacing w:after="20" w:before="20"/>
            </w:pPr>
            <w:r/>
            <w:r>
              <w:rPr>
                <w:b w:val="0"/>
                <w:sz w:val="13"/>
              </w:rPr>
              <w:t>9.2</w:t>
            </w:r>
          </w:p>
        </w:tc>
        <w:tc>
          <w:tcPr>
            <w:tcW w:type="dxa" w:w="3572"/>
            <w:shd w:val="clear" w:fill="EAF4EF"/>
          </w:tcPr>
          <w:p>
            <w:pPr>
              <w:spacing w:after="20" w:before="20"/>
            </w:pPr>
            <w:r/>
            <w:r>
              <w:rPr>
                <w:b w:val="0"/>
                <w:sz w:val="13"/>
              </w:rPr>
              <w:t>Open data releases with documentation (models, probes, scores, code)</w:t>
            </w:r>
          </w:p>
        </w:tc>
        <w:tc>
          <w:tcPr>
            <w:tcW w:type="dxa" w:w="794"/>
            <w:shd w:val="clear" w:fill="EAF4EF"/>
          </w:tcPr>
          <w:p>
            <w:pPr>
              <w:spacing w:after="20" w:before="20"/>
            </w:pPr>
            <w:r/>
            <w:r>
              <w:rPr>
                <w:b w:val="0"/>
                <w:sz w:val="13"/>
              </w:rPr>
              <w:t>Jan 2028</w:t>
            </w:r>
          </w:p>
        </w:tc>
        <w:tc>
          <w:tcPr>
            <w:tcW w:type="dxa" w:w="794"/>
            <w:shd w:val="clear" w:fill="EAF4EF"/>
          </w:tcPr>
          <w:p>
            <w:pPr>
              <w:spacing w:after="20" w:before="20"/>
            </w:pPr>
            <w:r/>
            <w:r>
              <w:rPr>
                <w:b w:val="0"/>
                <w:sz w:val="13"/>
              </w:rPr>
              <w:t>Jun 2031</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Data steward</w:t>
            </w:r>
          </w:p>
        </w:tc>
        <w:tc>
          <w:tcPr>
            <w:tcW w:type="dxa" w:w="1474"/>
            <w:shd w:val="clear" w:fill="EAF4EF"/>
          </w:tcPr>
          <w:p>
            <w:pPr>
              <w:spacing w:after="20" w:before="20"/>
            </w:pPr>
            <w:r/>
            <w:r>
              <w:rPr>
                <w:b w:val="0"/>
                <w:sz w:val="13"/>
              </w:rPr>
              <w:t>Hosting</w:t>
            </w:r>
          </w:p>
        </w:tc>
      </w:tr>
      <w:tr>
        <w:trPr>
          <w:cantSplit/>
        </w:trPr>
        <w:tc>
          <w:tcPr>
            <w:tcW w:type="dxa" w:w="567"/>
          </w:tcPr>
          <w:p>
            <w:pPr>
              <w:spacing w:after="20" w:before="20"/>
            </w:pPr>
            <w:r/>
            <w:r>
              <w:rPr>
                <w:b w:val="0"/>
                <w:sz w:val="13"/>
              </w:rPr>
              <w:t>9.3</w:t>
            </w:r>
          </w:p>
        </w:tc>
        <w:tc>
          <w:tcPr>
            <w:tcW w:type="dxa" w:w="3572"/>
          </w:tcPr>
          <w:p>
            <w:pPr>
              <w:spacing w:after="20" w:before="20"/>
            </w:pPr>
            <w:r/>
            <w:r>
              <w:rPr>
                <w:b w:val="0"/>
                <w:sz w:val="13"/>
              </w:rPr>
              <w:t>Training school: two editions for researchers and auditors</w:t>
            </w:r>
          </w:p>
        </w:tc>
        <w:tc>
          <w:tcPr>
            <w:tcW w:type="dxa" w:w="794"/>
          </w:tcPr>
          <w:p>
            <w:pPr>
              <w:spacing w:after="20" w:before="20"/>
            </w:pPr>
            <w:r/>
            <w:r>
              <w:rPr>
                <w:b w:val="0"/>
                <w:sz w:val="13"/>
              </w:rPr>
              <w:t>Apr 2029</w:t>
            </w:r>
          </w:p>
        </w:tc>
        <w:tc>
          <w:tcPr>
            <w:tcW w:type="dxa" w:w="794"/>
          </w:tcPr>
          <w:p>
            <w:pPr>
              <w:spacing w:after="20" w:before="20"/>
            </w:pPr>
            <w:r/>
            <w:r>
              <w:rPr>
                <w:b w:val="0"/>
                <w:sz w:val="13"/>
              </w:rPr>
              <w:t>Sep 2030</w:t>
            </w:r>
          </w:p>
        </w:tc>
        <w:tc>
          <w:tcPr>
            <w:tcW w:type="dxa" w:w="964"/>
          </w:tcPr>
          <w:p>
            <w:pPr>
              <w:spacing w:after="20" w:before="20"/>
            </w:pPr>
            <w:r/>
            <w:r>
              <w:rPr>
                <w:b w:val="0"/>
                <w:sz w:val="13"/>
              </w:rPr>
              <w:t>Planned</w:t>
            </w:r>
          </w:p>
        </w:tc>
        <w:tc>
          <w:tcPr>
            <w:tcW w:type="dxa" w:w="1474"/>
          </w:tcPr>
          <w:p>
            <w:pPr>
              <w:spacing w:after="20" w:before="20"/>
            </w:pPr>
            <w:r/>
            <w:r>
              <w:rPr>
                <w:b w:val="0"/>
                <w:sz w:val="13"/>
              </w:rPr>
              <w:t>PI + teams</w:t>
            </w:r>
          </w:p>
        </w:tc>
        <w:tc>
          <w:tcPr>
            <w:tcW w:type="dxa" w:w="1474"/>
          </w:tcPr>
          <w:p>
            <w:pPr>
              <w:spacing w:after="20" w:before="20"/>
            </w:pPr>
            <w:r/>
            <w:r>
              <w:rPr>
                <w:b w:val="0"/>
                <w:sz w:val="13"/>
              </w:rPr>
              <w:t>€35k/edition</w:t>
            </w:r>
          </w:p>
        </w:tc>
      </w:tr>
      <w:tr>
        <w:trPr>
          <w:cantSplit/>
        </w:trPr>
        <w:tc>
          <w:tcPr>
            <w:tcW w:type="dxa" w:w="567"/>
            <w:shd w:val="clear" w:fill="EAF4EF"/>
          </w:tcPr>
          <w:p>
            <w:pPr>
              <w:spacing w:after="20" w:before="20"/>
            </w:pPr>
            <w:r/>
            <w:r>
              <w:rPr>
                <w:b w:val="0"/>
                <w:sz w:val="13"/>
              </w:rPr>
              <w:t>9.4</w:t>
            </w:r>
          </w:p>
        </w:tc>
        <w:tc>
          <w:tcPr>
            <w:tcW w:type="dxa" w:w="3572"/>
            <w:shd w:val="clear" w:fill="EAF4EF"/>
          </w:tcPr>
          <w:p>
            <w:pPr>
              <w:spacing w:after="20" w:before="20"/>
            </w:pPr>
            <w:r/>
            <w:r>
              <w:rPr>
                <w:b w:val="0"/>
                <w:sz w:val="13"/>
              </w:rPr>
              <w:t>Authorities briefings, public reports, media and community engagement</w:t>
            </w:r>
          </w:p>
        </w:tc>
        <w:tc>
          <w:tcPr>
            <w:tcW w:type="dxa" w:w="794"/>
            <w:shd w:val="clear" w:fill="EAF4EF"/>
          </w:tcPr>
          <w:p>
            <w:pPr>
              <w:spacing w:after="20" w:before="20"/>
            </w:pPr>
            <w:r/>
            <w:r>
              <w:rPr>
                <w:b w:val="0"/>
                <w:sz w:val="13"/>
              </w:rPr>
              <w:t>Jan 2027</w:t>
            </w:r>
          </w:p>
        </w:tc>
        <w:tc>
          <w:tcPr>
            <w:tcW w:type="dxa" w:w="794"/>
            <w:shd w:val="clear" w:fill="EAF4EF"/>
          </w:tcPr>
          <w:p>
            <w:pPr>
              <w:spacing w:after="20" w:before="20"/>
            </w:pPr>
            <w:r/>
            <w:r>
              <w:rPr>
                <w:b w:val="0"/>
                <w:sz w:val="13"/>
              </w:rPr>
              <w:t>Jun 2031</w:t>
            </w:r>
          </w:p>
        </w:tc>
        <w:tc>
          <w:tcPr>
            <w:tcW w:type="dxa" w:w="964"/>
            <w:shd w:val="clear" w:fill="EAF4EF"/>
          </w:tcPr>
          <w:p>
            <w:pPr>
              <w:spacing w:after="20" w:before="20"/>
            </w:pPr>
            <w:r/>
            <w:r>
              <w:rPr>
                <w:b w:val="0"/>
                <w:sz w:val="13"/>
              </w:rPr>
              <w:t>Planned</w:t>
            </w:r>
          </w:p>
        </w:tc>
        <w:tc>
          <w:tcPr>
            <w:tcW w:type="dxa" w:w="1474"/>
            <w:shd w:val="clear" w:fill="EAF4EF"/>
          </w:tcPr>
          <w:p>
            <w:pPr>
              <w:spacing w:after="20" w:before="20"/>
            </w:pPr>
            <w:r/>
            <w:r>
              <w:rPr>
                <w:b w:val="0"/>
                <w:sz w:val="13"/>
              </w:rPr>
              <w:t>Policy lead</w:t>
            </w:r>
          </w:p>
        </w:tc>
        <w:tc>
          <w:tcPr>
            <w:tcW w:type="dxa" w:w="1474"/>
            <w:shd w:val="clear" w:fill="EAF4EF"/>
          </w:tcPr>
          <w:p>
            <w:pPr>
              <w:spacing w:after="20" w:before="20"/>
            </w:pPr>
            <w:r/>
            <w:r>
              <w:rPr>
                <w:b w:val="0"/>
                <w:sz w:val="13"/>
              </w:rPr>
              <w:t>Travel + comms</w:t>
            </w:r>
          </w:p>
        </w:tc>
      </w:tr>
      <w:tr>
        <w:trPr>
          <w:cantSplit/>
        </w:trPr>
        <w:tc>
          <w:tcPr>
            <w:tcW w:type="dxa" w:w="567"/>
          </w:tcPr>
          <w:p>
            <w:pPr>
              <w:spacing w:after="20" w:before="20"/>
            </w:pPr>
            <w:r/>
            <w:r>
              <w:rPr>
                <w:b w:val="0"/>
                <w:sz w:val="13"/>
              </w:rPr>
              <w:t>9.5</w:t>
            </w:r>
          </w:p>
        </w:tc>
        <w:tc>
          <w:tcPr>
            <w:tcW w:type="dxa" w:w="3572"/>
          </w:tcPr>
          <w:p>
            <w:pPr>
              <w:spacing w:after="20" w:before="20"/>
            </w:pPr>
            <w:r/>
            <w:r>
              <w:rPr>
                <w:b w:val="0"/>
                <w:sz w:val="13"/>
              </w:rPr>
              <w:t>Sustainability plan: hosting, stewardship, transition to a standing body</w:t>
            </w:r>
          </w:p>
        </w:tc>
        <w:tc>
          <w:tcPr>
            <w:tcW w:type="dxa" w:w="794"/>
          </w:tcPr>
          <w:p>
            <w:pPr>
              <w:spacing w:after="20" w:before="20"/>
            </w:pPr>
            <w:r/>
            <w:r>
              <w:rPr>
                <w:b w:val="0"/>
                <w:sz w:val="13"/>
              </w:rPr>
              <w:t>Jul 2030</w:t>
            </w:r>
          </w:p>
        </w:tc>
        <w:tc>
          <w:tcPr>
            <w:tcW w:type="dxa" w:w="794"/>
          </w:tcPr>
          <w:p>
            <w:pPr>
              <w:spacing w:after="20" w:before="20"/>
            </w:pPr>
            <w:r/>
            <w:r>
              <w:rPr>
                <w:b w:val="0"/>
                <w:sz w:val="13"/>
              </w:rPr>
              <w:t>Jun 2031</w:t>
            </w:r>
          </w:p>
        </w:tc>
        <w:tc>
          <w:tcPr>
            <w:tcW w:type="dxa" w:w="964"/>
          </w:tcPr>
          <w:p>
            <w:pPr>
              <w:spacing w:after="20" w:before="20"/>
            </w:pPr>
            <w:r/>
            <w:r>
              <w:rPr>
                <w:b w:val="0"/>
                <w:sz w:val="13"/>
              </w:rPr>
              <w:t>Planned</w:t>
            </w:r>
          </w:p>
        </w:tc>
        <w:tc>
          <w:tcPr>
            <w:tcW w:type="dxa" w:w="1474"/>
          </w:tcPr>
          <w:p>
            <w:pPr>
              <w:spacing w:after="20" w:before="20"/>
            </w:pPr>
            <w:r/>
            <w:r>
              <w:rPr>
                <w:b w:val="0"/>
                <w:sz w:val="13"/>
              </w:rPr>
              <w:t>PI + board</w:t>
            </w:r>
          </w:p>
        </w:tc>
        <w:tc>
          <w:tcPr>
            <w:tcW w:type="dxa" w:w="1474"/>
          </w:tcPr>
          <w:p>
            <w:pPr>
              <w:spacing w:after="20" w:before="20"/>
            </w:pPr>
            <w:r/>
            <w:r>
              <w:rPr>
                <w:b w:val="0"/>
                <w:sz w:val="13"/>
              </w:rPr>
              <w:t>Staff</w:t>
            </w:r>
          </w:p>
        </w:tc>
      </w:tr>
    </w:tbl>
    <w:p>
      <w:pPr>
        <w:spacing w:after="100"/>
      </w:pPr>
      <w:r>
        <w:rPr>
          <w:b w:val="0"/>
          <w:i/>
          <w:sz w:val="16"/>
        </w:rPr>
        <w:t>Table — 54 tasks across nine workstreams, every one of them planned and none of them started: no task here has an owner under contract, a budget line drawn down, or a deliverable in draft. The five marked (v1.1) are new in this edition and are set out in 3.1 against the deliverables that carry them.</w:t>
      </w:r>
    </w:p>
    <w:p>
      <w:pPr>
        <w:spacing w:after="100"/>
      </w:pPr>
      <w:r>
        <w:rPr>
          <w:b w:val="0"/>
          <w:i w:val="0"/>
          <w:sz w:val="19"/>
        </w:rPr>
        <w:t>Eight of these tasks end after December 2030 and therefore after the Core scenario's four funded years: 1.5, 7.5, 7.6, 8.4, 9.1, 9.2, 9.4, 9.5. They are the standards submission and the regulatory pilots, the deployment guidance and incident taxonomy, and the publication, data-release, briefing and sustainability tasks that run to the end of the programme. Core does not fund them, and this table should not be read as though it did: under Core each of them is either completed inside the fourth year at reduced scope, carried by a successor body or a partner, or not done. Which of the three applies is a decision for the G4 review rather than one this plan can take in advance, and the Full scenario funds all of them to June 2031. This is also why the Ethics Dossier describes the programme as five years while this plan recommends a four-year budget.</w:t>
      </w:r>
    </w:p>
    <w:p>
      <w:pPr>
        <w:pStyle w:val="Heading2"/>
      </w:pPr>
      <w:r>
        <w:t>4.5 What a reviewer will ask about the schedule</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0F2622"/>
          </w:tcPr>
          <w:p>
            <w:pPr>
              <w:spacing w:after="20" w:before="20"/>
            </w:pPr>
            <w:r/>
            <w:r>
              <w:rPr>
                <w:b/>
                <w:color w:val="FFFFFF"/>
                <w:sz w:val="14"/>
              </w:rPr>
              <w:t>The question, as a reviewer would put it</w:t>
            </w:r>
          </w:p>
        </w:tc>
        <w:tc>
          <w:tcPr>
            <w:tcW w:type="dxa" w:w="3742"/>
            <w:shd w:val="clear" w:fill="0F2622"/>
          </w:tcPr>
          <w:p>
            <w:pPr>
              <w:spacing w:after="20" w:before="20"/>
            </w:pPr>
            <w:r/>
            <w:r>
              <w:rPr>
                <w:b/>
                <w:color w:val="FFFFFF"/>
                <w:sz w:val="14"/>
              </w:rPr>
              <w:t>The answer</w:t>
            </w:r>
          </w:p>
        </w:tc>
        <w:tc>
          <w:tcPr>
            <w:tcW w:type="dxa" w:w="1361"/>
            <w:shd w:val="clear" w:fill="0F2622"/>
          </w:tcPr>
          <w:p>
            <w:pPr>
              <w:spacing w:after="20" w:before="20"/>
            </w:pPr>
            <w:r/>
            <w:r>
              <w:rPr>
                <w:b/>
                <w:color w:val="FFFFFF"/>
                <w:sz w:val="14"/>
              </w:rPr>
              <w:t>Where it is carried</w:t>
            </w:r>
          </w:p>
        </w:tc>
        <w:tc>
          <w:tcPr>
            <w:tcW w:type="dxa" w:w="1361"/>
            <w:shd w:val="clear" w:fill="0F2622"/>
          </w:tcPr>
          <w:p>
            <w:pPr>
              <w:spacing w:after="20" w:before="20"/>
            </w:pPr>
            <w:r/>
            <w:r>
              <w:rPr>
                <w:b/>
                <w:color w:val="FFFFFF"/>
                <w:sz w:val="14"/>
              </w:rPr>
              <w:t>Status</w:t>
            </w:r>
          </w:p>
        </w:tc>
      </w:tr>
      <w:tr>
        <w:trPr>
          <w:cantSplit/>
        </w:trPr>
        <w:tc>
          <w:tcPr>
            <w:tcW w:type="dxa" w:w="2494"/>
          </w:tcPr>
          <w:p>
            <w:pPr>
              <w:spacing w:after="20" w:before="20"/>
            </w:pPr>
            <w:r/>
            <w:r>
              <w:rPr>
                <w:b w:val="0"/>
                <w:sz w:val="14"/>
              </w:rPr>
              <w:t>‘Your critical path says BSS-1 clause drafting waits for taxonomy v2. Your schedule starts it a year before taxonomy v2 finishes. Which is it?’</w:t>
            </w:r>
          </w:p>
        </w:tc>
        <w:tc>
          <w:tcPr>
            <w:tcW w:type="dxa" w:w="3742"/>
          </w:tcPr>
          <w:p>
            <w:pPr>
              <w:spacing w:after="20" w:before="20"/>
            </w:pPr>
            <w:r/>
            <w:r>
              <w:rPr>
                <w:b w:val="0"/>
                <w:sz w:val="14"/>
              </w:rPr>
              <w:t>The schedule. Drafting runs from January 2028 against the provisional catalogue because a standards process that begins at G3 cannot reach a standards body inside the funded period. What waits for taxonomy v2 is the freeze: the clause set is re-opened in December 2029 and D23 is dated from the re-opening. v1.0 stated the dependency the other way round and was contradicted by its own dates.</w:t>
            </w:r>
          </w:p>
        </w:tc>
        <w:tc>
          <w:tcPr>
            <w:tcW w:type="dxa" w:w="1361"/>
          </w:tcPr>
          <w:p>
            <w:pPr>
              <w:spacing w:after="20" w:before="20"/>
            </w:pPr>
            <w:r/>
            <w:r>
              <w:rPr>
                <w:b w:val="0"/>
                <w:sz w:val="14"/>
              </w:rPr>
              <w:t>4.2, 4.4, D23</w:t>
            </w:r>
          </w:p>
        </w:tc>
        <w:tc>
          <w:tcPr>
            <w:tcW w:type="dxa" w:w="1361"/>
          </w:tcPr>
          <w:p>
            <w:pPr>
              <w:spacing w:after="20" w:before="20"/>
            </w:pPr>
            <w:r/>
            <w:r>
              <w:rPr>
                <w:b w:val="0"/>
                <w:sz w:val="14"/>
              </w:rPr>
              <w:t>Settled</w:t>
            </w:r>
          </w:p>
        </w:tc>
      </w:tr>
      <w:tr>
        <w:trPr>
          <w:cantSplit/>
        </w:trPr>
        <w:tc>
          <w:tcPr>
            <w:tcW w:type="dxa" w:w="2494"/>
            <w:shd w:val="clear" w:fill="EAF4EF"/>
          </w:tcPr>
          <w:p>
            <w:pPr>
              <w:spacing w:after="20" w:before="20"/>
            </w:pPr>
            <w:r/>
            <w:r>
              <w:rPr>
                <w:b w:val="0"/>
                <w:sz w:val="14"/>
              </w:rPr>
              <w:t>‘Four of your links have the successor starting before the predecessor ends.’</w:t>
            </w:r>
          </w:p>
        </w:tc>
        <w:tc>
          <w:tcPr>
            <w:tcW w:type="dxa" w:w="3742"/>
            <w:shd w:val="clear" w:fill="EAF4EF"/>
          </w:tcPr>
          <w:p>
            <w:pPr>
              <w:spacing w:after="20" w:before="20"/>
            </w:pPr>
            <w:r/>
            <w:r>
              <w:rPr>
                <w:b w:val="0"/>
                <w:sz w:val="14"/>
              </w:rPr>
              <w:t>True, and now visible because the float is computed from the task dates rather than typed. Each is defensible only as a start on partial output, and the plan does not yet specify what that partial output is.</w:t>
            </w:r>
          </w:p>
        </w:tc>
        <w:tc>
          <w:tcPr>
            <w:tcW w:type="dxa" w:w="1361"/>
            <w:shd w:val="clear" w:fill="EAF4EF"/>
          </w:tcPr>
          <w:p>
            <w:pPr>
              <w:spacing w:after="20" w:before="20"/>
            </w:pPr>
            <w:r/>
            <w:r>
              <w:rPr>
                <w:b w:val="0"/>
                <w:sz w:val="14"/>
              </w:rPr>
              <w:t>4.2, Annex E OI-14</w:t>
            </w:r>
          </w:p>
        </w:tc>
        <w:tc>
          <w:tcPr>
            <w:tcW w:type="dxa" w:w="1361"/>
            <w:shd w:val="clear" w:fill="EAF4EF"/>
          </w:tcPr>
          <w:p>
            <w:pPr>
              <w:spacing w:after="20" w:before="20"/>
            </w:pPr>
            <w:r/>
            <w:r>
              <w:rPr>
                <w:b w:val="0"/>
                <w:sz w:val="14"/>
              </w:rPr>
              <w:t>Open — PI + WP leads, at the detailed schedule build</w:t>
            </w:r>
          </w:p>
        </w:tc>
      </w:tr>
      <w:tr>
        <w:trPr>
          <w:cantSplit/>
        </w:trPr>
        <w:tc>
          <w:tcPr>
            <w:tcW w:type="dxa" w:w="2494"/>
          </w:tcPr>
          <w:p>
            <w:pPr>
              <w:spacing w:after="20" w:before="20"/>
            </w:pPr>
            <w:r/>
            <w:r>
              <w:rPr>
                <w:b w:val="0"/>
                <w:sz w:val="14"/>
              </w:rPr>
              <w:t>‘Your Core task table runs six months past the Core budget.’</w:t>
            </w:r>
          </w:p>
        </w:tc>
        <w:tc>
          <w:tcPr>
            <w:tcW w:type="dxa" w:w="3742"/>
          </w:tcPr>
          <w:p>
            <w:pPr>
              <w:spacing w:after="20" w:before="20"/>
            </w:pPr>
            <w:r/>
            <w:r>
              <w:rPr>
                <w:b w:val="0"/>
                <w:sz w:val="14"/>
              </w:rPr>
              <w:t>It does: eight tasks end after December 2030. 4.4 names them and says what Core can and cannot do with them. The Full scenario funds them all to June 2031.</w:t>
            </w:r>
          </w:p>
        </w:tc>
        <w:tc>
          <w:tcPr>
            <w:tcW w:type="dxa" w:w="1361"/>
          </w:tcPr>
          <w:p>
            <w:pPr>
              <w:spacing w:after="20" w:before="20"/>
            </w:pPr>
            <w:r/>
            <w:r>
              <w:rPr>
                <w:b w:val="0"/>
                <w:sz w:val="14"/>
              </w:rPr>
              <w:t>4.4, 6.1</w:t>
            </w:r>
          </w:p>
        </w:tc>
        <w:tc>
          <w:tcPr>
            <w:tcW w:type="dxa" w:w="1361"/>
          </w:tcPr>
          <w:p>
            <w:pPr>
              <w:spacing w:after="20" w:before="20"/>
            </w:pPr>
            <w:r/>
            <w:r>
              <w:rPr>
                <w:b w:val="0"/>
                <w:sz w:val="14"/>
              </w:rPr>
              <w:t>Settled</w:t>
            </w:r>
          </w:p>
        </w:tc>
      </w:tr>
      <w:tr>
        <w:trPr>
          <w:cantSplit/>
        </w:trPr>
        <w:tc>
          <w:tcPr>
            <w:tcW w:type="dxa" w:w="2494"/>
            <w:shd w:val="clear" w:fill="EAF4EF"/>
          </w:tcPr>
          <w:p>
            <w:pPr>
              <w:spacing w:after="20" w:before="20"/>
            </w:pPr>
            <w:r/>
            <w:r>
              <w:rPr>
                <w:b w:val="0"/>
                <w:sz w:val="14"/>
              </w:rPr>
              <w:t>‘Every date here assumes a kick-off in October 2026, which has passed.’</w:t>
            </w:r>
          </w:p>
        </w:tc>
        <w:tc>
          <w:tcPr>
            <w:tcW w:type="dxa" w:w="3742"/>
            <w:shd w:val="clear" w:fill="EAF4EF"/>
          </w:tcPr>
          <w:p>
            <w:pPr>
              <w:spacing w:after="20" w:before="20"/>
            </w:pPr>
            <w:r/>
            <w:r>
              <w:rPr>
                <w:b w:val="0"/>
                <w:sz w:val="14"/>
              </w:rPr>
              <w:t>Yes. The dates carry sequence and duration, which is the auditable part of a schedule, and 4.3 states the earliest honest start on both funding routes instead of quietly re-basing the calendar.</w:t>
            </w:r>
          </w:p>
        </w:tc>
        <w:tc>
          <w:tcPr>
            <w:tcW w:type="dxa" w:w="1361"/>
            <w:shd w:val="clear" w:fill="EAF4EF"/>
          </w:tcPr>
          <w:p>
            <w:pPr>
              <w:spacing w:after="20" w:before="20"/>
            </w:pPr>
            <w:r/>
            <w:r>
              <w:rPr>
                <w:b w:val="0"/>
                <w:sz w:val="14"/>
              </w:rPr>
              <w:t>4.3</w:t>
            </w:r>
          </w:p>
        </w:tc>
        <w:tc>
          <w:tcPr>
            <w:tcW w:type="dxa" w:w="1361"/>
            <w:shd w:val="clear" w:fill="EAF4EF"/>
          </w:tcPr>
          <w:p>
            <w:pPr>
              <w:spacing w:after="20" w:before="20"/>
            </w:pPr>
            <w:r/>
            <w:r>
              <w:rPr>
                <w:b w:val="0"/>
                <w:sz w:val="14"/>
              </w:rPr>
              <w:t>Settled</w:t>
            </w:r>
          </w:p>
        </w:tc>
      </w:tr>
      <w:tr>
        <w:trPr>
          <w:cantSplit/>
        </w:trPr>
        <w:tc>
          <w:tcPr>
            <w:tcW w:type="dxa" w:w="2494"/>
          </w:tcPr>
          <w:p>
            <w:pPr>
              <w:spacing w:after="20" w:before="20"/>
            </w:pPr>
            <w:r/>
            <w:r>
              <w:rPr>
                <w:b w:val="0"/>
                <w:sz w:val="14"/>
              </w:rPr>
              <w:t>‘Your milestone table pairs each milestone with a gate, and the pairings do not hold.’</w:t>
            </w:r>
          </w:p>
        </w:tc>
        <w:tc>
          <w:tcPr>
            <w:tcW w:type="dxa" w:w="3742"/>
          </w:tcPr>
          <w:p>
            <w:pPr>
              <w:spacing w:after="20" w:before="20"/>
            </w:pPr>
            <w:r/>
            <w:r>
              <w:rPr>
                <w:b w:val="0"/>
                <w:sz w:val="14"/>
              </w:rPr>
              <w:t>The Gate/evidence column is generated by the shared support module, which pairs the milestone list against the gate list by position. Read that column as the gate governing the phase a milestone falls in, not as the gate that governs the milestone itself. An explicit milestone-to-gate map belongs in the shared data model, which this plan does not own.</w:t>
            </w:r>
          </w:p>
        </w:tc>
        <w:tc>
          <w:tcPr>
            <w:tcW w:type="dxa" w:w="1361"/>
          </w:tcPr>
          <w:p>
            <w:pPr>
              <w:spacing w:after="20" w:before="20"/>
            </w:pPr>
            <w:r/>
            <w:r>
              <w:rPr>
                <w:b w:val="0"/>
                <w:sz w:val="14"/>
              </w:rPr>
              <w:t>4.1, Annex E OI-17</w:t>
            </w:r>
          </w:p>
        </w:tc>
        <w:tc>
          <w:tcPr>
            <w:tcW w:type="dxa" w:w="1361"/>
          </w:tcPr>
          <w:p>
            <w:pPr>
              <w:spacing w:after="20" w:before="20"/>
            </w:pPr>
            <w:r/>
            <w:r>
              <w:rPr>
                <w:b w:val="0"/>
                <w:sz w:val="14"/>
              </w:rPr>
              <w:t>Recommended change — owner of the shared task and milestone model</w:t>
            </w:r>
          </w:p>
        </w:tc>
      </w:tr>
    </w:tbl>
    <w:p>
      <w:pPr>
        <w:spacing w:after="100"/>
      </w:pPr>
      <w:r>
        <w:rPr>
          <w:b w:val="0"/>
          <w:i/>
          <w:sz w:val="16"/>
        </w:rPr>
        <w:t>Table — four statuses, meant literally. Settled: the document answers it and no further work is needed. Settled — needs wording: the answer is right and the text is not yet. Open: nobody has done the work, and the row names who must and by when. Recommended change: the fix belongs to an artefact this plan does not own.</w:t>
      </w:r>
    </w:p>
    <w:p>
      <w:r>
        <w:br w:type="page"/>
      </w:r>
    </w:p>
    <w:p>
      <w:pPr>
        <w:pStyle w:val="Heading1"/>
      </w:pPr>
      <w:r>
        <w:t>5. Team, rates and resources</w:t>
      </w:r>
    </w:p>
    <w:p>
      <w:pPr>
        <w:spacing w:before="0" w:after="140" w:line="40" w:lineRule="exact"/>
        <w:pBdr>
          <w:bottom w:val="single" w:sz="16" w:space="0" w:color="E8A13D"/>
        </w:pBdr>
      </w:pPr>
      <w:r>
        <w:rPr>
          <w:sz w:val="2"/>
        </w:rPr>
      </w:r>
    </w:p>
    <w:p>
      <w:pPr>
        <w:pStyle w:val="Heading2"/>
      </w:pPr>
      <w:r>
        <w:t>5.1 Roles and rates</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1701"/>
            <w:shd w:val="clear" w:fill="0F2622"/>
          </w:tcPr>
          <w:p>
            <w:pPr>
              <w:spacing w:after="20" w:before="20"/>
            </w:pPr>
            <w:r/>
            <w:r>
              <w:rPr>
                <w:b/>
                <w:color w:val="FFFFFF"/>
                <w:sz w:val="14"/>
              </w:rPr>
              <w:t>Role</w:t>
            </w:r>
          </w:p>
        </w:tc>
        <w:tc>
          <w:tcPr>
            <w:tcW w:type="dxa" w:w="1474"/>
            <w:shd w:val="clear" w:fill="0F2622"/>
          </w:tcPr>
          <w:p>
            <w:pPr>
              <w:spacing w:after="20" w:before="20"/>
            </w:pPr>
            <w:r/>
            <w:r>
              <w:rPr>
                <w:b/>
                <w:color w:val="FFFFFF"/>
                <w:sz w:val="14"/>
              </w:rPr>
              <w:t>Basis</w:t>
            </w:r>
          </w:p>
        </w:tc>
        <w:tc>
          <w:tcPr>
            <w:tcW w:type="dxa" w:w="1871"/>
            <w:shd w:val="clear" w:fill="0F2622"/>
          </w:tcPr>
          <w:p>
            <w:pPr>
              <w:spacing w:after="20" w:before="20"/>
            </w:pPr>
            <w:r/>
            <w:r>
              <w:rPr>
                <w:b/>
                <w:color w:val="FFFFFF"/>
                <w:sz w:val="14"/>
              </w:rPr>
              <w:t>If contributed</w:t>
            </w:r>
          </w:p>
        </w:tc>
        <w:tc>
          <w:tcPr>
            <w:tcW w:type="dxa" w:w="1871"/>
            <w:shd w:val="clear" w:fill="0F2622"/>
          </w:tcPr>
          <w:p>
            <w:pPr>
              <w:spacing w:after="20" w:before="20"/>
            </w:pPr>
            <w:r/>
            <w:r>
              <w:rPr>
                <w:b/>
                <w:color w:val="FFFFFF"/>
                <w:sz w:val="14"/>
              </w:rPr>
              <w:t>If bought</w:t>
            </w:r>
          </w:p>
        </w:tc>
        <w:tc>
          <w:tcPr>
            <w:tcW w:type="dxa" w:w="2835"/>
            <w:shd w:val="clear" w:fill="0F2622"/>
          </w:tcPr>
          <w:p>
            <w:pPr>
              <w:spacing w:after="20" w:before="20"/>
            </w:pPr>
            <w:r/>
            <w:r>
              <w:rPr>
                <w:b/>
                <w:color w:val="FFFFFF"/>
                <w:sz w:val="14"/>
              </w:rPr>
              <w:t>Note</w:t>
            </w:r>
          </w:p>
        </w:tc>
      </w:tr>
      <w:tr>
        <w:trPr>
          <w:cantSplit/>
        </w:trPr>
        <w:tc>
          <w:tcPr>
            <w:tcW w:type="dxa" w:w="1701"/>
          </w:tcPr>
          <w:p>
            <w:pPr>
              <w:spacing w:after="20" w:before="20"/>
            </w:pPr>
            <w:r/>
            <w:r>
              <w:rPr>
                <w:b w:val="0"/>
                <w:sz w:val="14"/>
              </w:rPr>
              <w:t>Principal investigator</w:t>
            </w:r>
          </w:p>
        </w:tc>
        <w:tc>
          <w:tcPr>
            <w:tcW w:type="dxa" w:w="1474"/>
          </w:tcPr>
          <w:p>
            <w:pPr>
              <w:spacing w:after="20" w:before="20"/>
            </w:pPr>
            <w:r/>
            <w:r>
              <w:rPr>
                <w:b w:val="0"/>
                <w:sz w:val="14"/>
              </w:rPr>
              <w:t>Academic senior, 0.25–1.0 FTE</w:t>
            </w:r>
          </w:p>
        </w:tc>
        <w:tc>
          <w:tcPr>
            <w:tcW w:type="dxa" w:w="1871"/>
          </w:tcPr>
          <w:p>
            <w:pPr>
              <w:spacing w:after="20" w:before="20"/>
            </w:pPr>
            <w:r/>
            <w:r>
              <w:rPr>
                <w:b w:val="0"/>
                <w:sz w:val="14"/>
              </w:rPr>
              <w:t>€85–105 / h loaded (≈ €136–168k / FTE-yr)</w:t>
            </w:r>
          </w:p>
        </w:tc>
        <w:tc>
          <w:tcPr>
            <w:tcW w:type="dxa" w:w="1871"/>
          </w:tcPr>
          <w:p>
            <w:pPr>
              <w:spacing w:after="20" w:before="20"/>
            </w:pPr>
            <w:r/>
            <w:r>
              <w:rPr>
                <w:b w:val="0"/>
                <w:sz w:val="14"/>
              </w:rPr>
              <w:t>€150–250 / h consultancy</w:t>
            </w:r>
          </w:p>
        </w:tc>
        <w:tc>
          <w:tcPr>
            <w:tcW w:type="dxa" w:w="2835"/>
          </w:tcPr>
          <w:p>
            <w:pPr>
              <w:spacing w:after="20" w:before="20"/>
            </w:pPr>
            <w:r/>
            <w:r>
              <w:rPr>
                <w:b w:val="0"/>
                <w:sz w:val="14"/>
              </w:rPr>
              <w:t>No host has agreed. Every scenario costs this role on the contributed column.</w:t>
            </w:r>
          </w:p>
        </w:tc>
      </w:tr>
      <w:tr>
        <w:trPr>
          <w:cantSplit/>
        </w:trPr>
        <w:tc>
          <w:tcPr>
            <w:tcW w:type="dxa" w:w="1701"/>
            <w:shd w:val="clear" w:fill="EAF4EF"/>
          </w:tcPr>
          <w:p>
            <w:pPr>
              <w:spacing w:after="20" w:before="20"/>
            </w:pPr>
            <w:r/>
            <w:r>
              <w:rPr>
                <w:b w:val="0"/>
                <w:sz w:val="14"/>
              </w:rPr>
              <w:t>Postdoctoral researcher</w:t>
            </w:r>
          </w:p>
        </w:tc>
        <w:tc>
          <w:tcPr>
            <w:tcW w:type="dxa" w:w="1474"/>
            <w:shd w:val="clear" w:fill="EAF4EF"/>
          </w:tcPr>
          <w:p>
            <w:pPr>
              <w:spacing w:after="20" w:before="20"/>
            </w:pPr>
            <w:r/>
            <w:r>
              <w:rPr>
                <w:b w:val="0"/>
                <w:sz w:val="14"/>
              </w:rPr>
              <w:t>4–6 years post-PhD</w:t>
            </w:r>
          </w:p>
        </w:tc>
        <w:tc>
          <w:tcPr>
            <w:tcW w:type="dxa" w:w="1871"/>
            <w:shd w:val="clear" w:fill="EAF4EF"/>
          </w:tcPr>
          <w:p>
            <w:pPr>
              <w:spacing w:after="20" w:before="20"/>
            </w:pPr>
            <w:r/>
            <w:r>
              <w:rPr>
                <w:b w:val="0"/>
                <w:sz w:val="14"/>
              </w:rPr>
              <w:t>€55–75k / yr loaded</w:t>
            </w:r>
          </w:p>
        </w:tc>
        <w:tc>
          <w:tcPr>
            <w:tcW w:type="dxa" w:w="1871"/>
            <w:shd w:val="clear" w:fill="EAF4EF"/>
          </w:tcPr>
          <w:p>
            <w:pPr>
              <w:spacing w:after="20" w:before="20"/>
            </w:pPr>
            <w:r/>
            <w:r>
              <w:rPr>
                <w:b w:val="0"/>
                <w:sz w:val="14"/>
              </w:rPr>
              <w:t>€80–120 / h contracted</w:t>
            </w:r>
          </w:p>
        </w:tc>
        <w:tc>
          <w:tcPr>
            <w:tcW w:type="dxa" w:w="2835"/>
            <w:shd w:val="clear" w:fill="EAF4EF"/>
          </w:tcPr>
          <w:p>
            <w:pPr>
              <w:spacing w:after="20" w:before="20"/>
            </w:pPr>
            <w:r/>
            <w:r>
              <w:rPr>
                <w:b w:val="0"/>
                <w:sz w:val="14"/>
              </w:rPr>
              <w:t>Bought, the post becomes a contractor: the same hours without the training role or the institutional affiliation.</w:t>
            </w:r>
          </w:p>
        </w:tc>
      </w:tr>
      <w:tr>
        <w:trPr>
          <w:cantSplit/>
        </w:trPr>
        <w:tc>
          <w:tcPr>
            <w:tcW w:type="dxa" w:w="1701"/>
          </w:tcPr>
          <w:p>
            <w:pPr>
              <w:spacing w:after="20" w:before="20"/>
            </w:pPr>
            <w:r/>
            <w:r>
              <w:rPr>
                <w:b w:val="0"/>
                <w:sz w:val="14"/>
              </w:rPr>
              <w:t>Doctoral researcher</w:t>
            </w:r>
          </w:p>
        </w:tc>
        <w:tc>
          <w:tcPr>
            <w:tcW w:type="dxa" w:w="1474"/>
          </w:tcPr>
          <w:p>
            <w:pPr>
              <w:spacing w:after="20" w:before="20"/>
            </w:pPr>
            <w:r/>
            <w:r>
              <w:rPr>
                <w:b w:val="0"/>
                <w:sz w:val="14"/>
              </w:rPr>
              <w:t>MSCA-comparable</w:t>
            </w:r>
          </w:p>
        </w:tc>
        <w:tc>
          <w:tcPr>
            <w:tcW w:type="dxa" w:w="1871"/>
          </w:tcPr>
          <w:p>
            <w:pPr>
              <w:spacing w:after="20" w:before="20"/>
            </w:pPr>
            <w:r/>
            <w:r>
              <w:rPr>
                <w:b w:val="0"/>
                <w:sz w:val="14"/>
              </w:rPr>
              <w:t>€45–55k / yr loaded</w:t>
            </w:r>
          </w:p>
        </w:tc>
        <w:tc>
          <w:tcPr>
            <w:tcW w:type="dxa" w:w="1871"/>
          </w:tcPr>
          <w:p>
            <w:pPr>
              <w:spacing w:after="20" w:before="20"/>
            </w:pPr>
            <w:r/>
            <w:r>
              <w:rPr>
                <w:b w:val="0"/>
                <w:sz w:val="14"/>
              </w:rPr>
              <w:t>Cannot be bought — nearest substitute €50–70 / h</w:t>
            </w:r>
          </w:p>
        </w:tc>
        <w:tc>
          <w:tcPr>
            <w:tcW w:type="dxa" w:w="2835"/>
          </w:tcPr>
          <w:p>
            <w:pPr>
              <w:spacing w:after="20" w:before="20"/>
            </w:pPr>
            <w:r/>
            <w:r>
              <w:rPr>
                <w:b w:val="0"/>
                <w:sz w:val="14"/>
              </w:rPr>
              <w:t>A doctoral post exists only inside a host. With no host the line does not become expensive; it disappears.</w:t>
            </w:r>
          </w:p>
        </w:tc>
      </w:tr>
      <w:tr>
        <w:trPr>
          <w:cantSplit/>
        </w:trPr>
        <w:tc>
          <w:tcPr>
            <w:tcW w:type="dxa" w:w="1701"/>
            <w:shd w:val="clear" w:fill="EAF4EF"/>
          </w:tcPr>
          <w:p>
            <w:pPr>
              <w:spacing w:after="20" w:before="20"/>
            </w:pPr>
            <w:r/>
            <w:r>
              <w:rPr>
                <w:b w:val="0"/>
                <w:sz w:val="14"/>
              </w:rPr>
              <w:t>Research engineer</w:t>
            </w:r>
          </w:p>
        </w:tc>
        <w:tc>
          <w:tcPr>
            <w:tcW w:type="dxa" w:w="1474"/>
            <w:shd w:val="clear" w:fill="EAF4EF"/>
          </w:tcPr>
          <w:p>
            <w:pPr>
              <w:spacing w:after="20" w:before="20"/>
            </w:pPr>
            <w:r/>
            <w:r>
              <w:rPr>
                <w:b w:val="0"/>
                <w:sz w:val="14"/>
              </w:rPr>
              <w:t>Senior ML / platform engineer</w:t>
            </w:r>
          </w:p>
        </w:tc>
        <w:tc>
          <w:tcPr>
            <w:tcW w:type="dxa" w:w="1871"/>
            <w:shd w:val="clear" w:fill="EAF4EF"/>
          </w:tcPr>
          <w:p>
            <w:pPr>
              <w:spacing w:after="20" w:before="20"/>
            </w:pPr>
            <w:r/>
            <w:r>
              <w:rPr>
                <w:b w:val="0"/>
                <w:sz w:val="14"/>
              </w:rPr>
              <w:t>€110–150k / yr as an employee</w:t>
            </w:r>
          </w:p>
        </w:tc>
        <w:tc>
          <w:tcPr>
            <w:tcW w:type="dxa" w:w="1871"/>
            <w:shd w:val="clear" w:fill="EAF4EF"/>
          </w:tcPr>
          <w:p>
            <w:pPr>
              <w:spacing w:after="20" w:before="20"/>
            </w:pPr>
            <w:r/>
            <w:r>
              <w:rPr>
                <w:b w:val="0"/>
                <w:sz w:val="14"/>
              </w:rPr>
              <w:t>€70–110 / h contracted (≈ €112–176k / FTE-yr)</w:t>
            </w:r>
          </w:p>
        </w:tc>
        <w:tc>
          <w:tcPr>
            <w:tcW w:type="dxa" w:w="2835"/>
            <w:shd w:val="clear" w:fill="EAF4EF"/>
          </w:tcPr>
          <w:p>
            <w:pPr>
              <w:spacing w:after="20" w:before="20"/>
            </w:pPr>
            <w:r/>
            <w:r>
              <w:rPr>
                <w:b w:val="0"/>
                <w:sz w:val="14"/>
              </w:rPr>
              <w:t>The rarest skill in the programme and the one role it cannot expect to be contributed.</w:t>
            </w:r>
          </w:p>
        </w:tc>
      </w:tr>
      <w:tr>
        <w:trPr>
          <w:cantSplit/>
        </w:trPr>
        <w:tc>
          <w:tcPr>
            <w:tcW w:type="dxa" w:w="1701"/>
          </w:tcPr>
          <w:p>
            <w:pPr>
              <w:spacing w:after="20" w:before="20"/>
            </w:pPr>
            <w:r/>
            <w:r>
              <w:rPr>
                <w:b w:val="0"/>
                <w:sz w:val="14"/>
              </w:rPr>
              <w:t>Statistician / psychometrician</w:t>
            </w:r>
          </w:p>
        </w:tc>
        <w:tc>
          <w:tcPr>
            <w:tcW w:type="dxa" w:w="1474"/>
          </w:tcPr>
          <w:p>
            <w:pPr>
              <w:spacing w:after="20" w:before="20"/>
            </w:pPr>
            <w:r/>
            <w:r>
              <w:rPr>
                <w:b w:val="0"/>
                <w:sz w:val="14"/>
              </w:rPr>
              <w:t>Academic or contracted</w:t>
            </w:r>
          </w:p>
        </w:tc>
        <w:tc>
          <w:tcPr>
            <w:tcW w:type="dxa" w:w="1871"/>
          </w:tcPr>
          <w:p>
            <w:pPr>
              <w:spacing w:after="20" w:before="20"/>
            </w:pPr>
            <w:r/>
            <w:r>
              <w:rPr>
                <w:b w:val="0"/>
                <w:sz w:val="14"/>
              </w:rPr>
              <w:t>€55–75k / yr loaded</w:t>
            </w:r>
          </w:p>
        </w:tc>
        <w:tc>
          <w:tcPr>
            <w:tcW w:type="dxa" w:w="1871"/>
          </w:tcPr>
          <w:p>
            <w:pPr>
              <w:spacing w:after="20" w:before="20"/>
            </w:pPr>
            <w:r/>
            <w:r>
              <w:rPr>
                <w:b w:val="0"/>
                <w:sz w:val="14"/>
              </w:rPr>
              <w:t>€70–100 / h; €1.5–3k per protocol review</w:t>
            </w:r>
          </w:p>
        </w:tc>
        <w:tc>
          <w:tcPr>
            <w:tcW w:type="dxa" w:w="2835"/>
          </w:tcPr>
          <w:p>
            <w:pPr>
              <w:spacing w:after="20" w:before="20"/>
            </w:pPr>
            <w:r/>
            <w:r>
              <w:rPr>
                <w:b w:val="0"/>
                <w:sz w:val="14"/>
              </w:rPr>
              <w:t>Contractual independence from the collection teams is required on either column.</w:t>
            </w:r>
          </w:p>
        </w:tc>
      </w:tr>
      <w:tr>
        <w:trPr>
          <w:cantSplit/>
        </w:trPr>
        <w:tc>
          <w:tcPr>
            <w:tcW w:type="dxa" w:w="1701"/>
            <w:shd w:val="clear" w:fill="EAF4EF"/>
          </w:tcPr>
          <w:p>
            <w:pPr>
              <w:spacing w:after="20" w:before="20"/>
            </w:pPr>
            <w:r/>
            <w:r>
              <w:rPr>
                <w:b w:val="0"/>
                <w:sz w:val="14"/>
              </w:rPr>
              <w:t>Rater (annotation)</w:t>
            </w:r>
          </w:p>
        </w:tc>
        <w:tc>
          <w:tcPr>
            <w:tcW w:type="dxa" w:w="1474"/>
            <w:shd w:val="clear" w:fill="EAF4EF"/>
          </w:tcPr>
          <w:p>
            <w:pPr>
              <w:spacing w:after="20" w:before="20"/>
            </w:pPr>
            <w:r/>
            <w:r>
              <w:rPr>
                <w:b w:val="0"/>
                <w:sz w:val="14"/>
              </w:rPr>
              <w:t>Skilled annotation</w:t>
            </w:r>
          </w:p>
        </w:tc>
        <w:tc>
          <w:tcPr>
            <w:tcW w:type="dxa" w:w="1871"/>
            <w:shd w:val="clear" w:fill="EAF4EF"/>
          </w:tcPr>
          <w:p>
            <w:pPr>
              <w:spacing w:after="20" w:before="20"/>
            </w:pPr>
            <w:r/>
            <w:r>
              <w:rPr>
                <w:b w:val="0"/>
                <w:sz w:val="14"/>
              </w:rPr>
              <w:t>Not contributable</w:t>
            </w:r>
          </w:p>
        </w:tc>
        <w:tc>
          <w:tcPr>
            <w:tcW w:type="dxa" w:w="1871"/>
            <w:shd w:val="clear" w:fill="EAF4EF"/>
          </w:tcPr>
          <w:p>
            <w:pPr>
              <w:spacing w:after="20" w:before="20"/>
            </w:pPr>
            <w:r/>
            <w:r>
              <w:rPr>
                <w:b w:val="0"/>
                <w:sz w:val="14"/>
              </w:rPr>
              <w:t>€28–45 / h</w:t>
            </w:r>
          </w:p>
        </w:tc>
        <w:tc>
          <w:tcPr>
            <w:tcW w:type="dxa" w:w="2835"/>
            <w:shd w:val="clear" w:fill="EAF4EF"/>
          </w:tcPr>
          <w:p>
            <w:pPr>
              <w:spacing w:after="20" w:before="20"/>
            </w:pPr>
            <w:r/>
            <w:r>
              <w:rPr>
                <w:b w:val="0"/>
                <w:sz w:val="14"/>
              </w:rPr>
              <w:t>Never in-kind: unpaid annotation is excluded by the fair-work standard. Above local living-wage benchmarks, reviewed annually.</w:t>
            </w:r>
          </w:p>
        </w:tc>
      </w:tr>
      <w:tr>
        <w:trPr>
          <w:cantSplit/>
        </w:trPr>
        <w:tc>
          <w:tcPr>
            <w:tcW w:type="dxa" w:w="1701"/>
          </w:tcPr>
          <w:p>
            <w:pPr>
              <w:spacing w:after="20" w:before="20"/>
            </w:pPr>
            <w:r/>
            <w:r>
              <w:rPr>
                <w:b w:val="0"/>
                <w:sz w:val="14"/>
              </w:rPr>
              <w:t>Expert panelist (Delphi)</w:t>
            </w:r>
          </w:p>
        </w:tc>
        <w:tc>
          <w:tcPr>
            <w:tcW w:type="dxa" w:w="1474"/>
          </w:tcPr>
          <w:p>
            <w:pPr>
              <w:spacing w:after="20" w:before="20"/>
            </w:pPr>
            <w:r/>
            <w:r>
              <w:rPr>
                <w:b w:val="0"/>
                <w:sz w:val="14"/>
              </w:rPr>
              <w:t>Honoraria</w:t>
            </w:r>
          </w:p>
        </w:tc>
        <w:tc>
          <w:tcPr>
            <w:tcW w:type="dxa" w:w="1871"/>
          </w:tcPr>
          <w:p>
            <w:pPr>
              <w:spacing w:after="20" w:before="20"/>
            </w:pPr>
            <w:r/>
            <w:r>
              <w:rPr>
                <w:b w:val="0"/>
                <w:sz w:val="14"/>
              </w:rPr>
              <w:t>Nil where the panelist's institution absorbs it</w:t>
            </w:r>
          </w:p>
        </w:tc>
        <w:tc>
          <w:tcPr>
            <w:tcW w:type="dxa" w:w="1871"/>
          </w:tcPr>
          <w:p>
            <w:pPr>
              <w:spacing w:after="20" w:before="20"/>
            </w:pPr>
            <w:r/>
            <w:r>
              <w:rPr>
                <w:b w:val="0"/>
                <w:sz w:val="14"/>
              </w:rPr>
              <w:t>€300–500 / session</w:t>
            </w:r>
          </w:p>
        </w:tc>
        <w:tc>
          <w:tcPr>
            <w:tcW w:type="dxa" w:w="2835"/>
          </w:tcPr>
          <w:p>
            <w:pPr>
              <w:spacing w:after="20" w:before="20"/>
            </w:pPr>
            <w:r/>
            <w:r>
              <w:rPr>
                <w:b w:val="0"/>
                <w:sz w:val="14"/>
              </w:rPr>
              <w:t>Two rounds per panel; COI declarations required either way.</w:t>
            </w:r>
          </w:p>
        </w:tc>
      </w:tr>
      <w:tr>
        <w:trPr>
          <w:cantSplit/>
        </w:trPr>
        <w:tc>
          <w:tcPr>
            <w:tcW w:type="dxa" w:w="1701"/>
            <w:shd w:val="clear" w:fill="EAF4EF"/>
          </w:tcPr>
          <w:p>
            <w:pPr>
              <w:spacing w:after="20" w:before="20"/>
            </w:pPr>
            <w:r/>
            <w:r>
              <w:rPr>
                <w:b w:val="0"/>
                <w:sz w:val="14"/>
              </w:rPr>
              <w:t>Containment auditor</w:t>
            </w:r>
          </w:p>
        </w:tc>
        <w:tc>
          <w:tcPr>
            <w:tcW w:type="dxa" w:w="1474"/>
            <w:shd w:val="clear" w:fill="EAF4EF"/>
          </w:tcPr>
          <w:p>
            <w:pPr>
              <w:spacing w:after="20" w:before="20"/>
            </w:pPr>
            <w:r/>
            <w:r>
              <w:rPr>
                <w:b w:val="0"/>
                <w:sz w:val="14"/>
              </w:rPr>
              <w:t>Independent specialist</w:t>
            </w:r>
          </w:p>
        </w:tc>
        <w:tc>
          <w:tcPr>
            <w:tcW w:type="dxa" w:w="1871"/>
            <w:shd w:val="clear" w:fill="EAF4EF"/>
          </w:tcPr>
          <w:p>
            <w:pPr>
              <w:spacing w:after="20" w:before="20"/>
            </w:pPr>
            <w:r/>
            <w:r>
              <w:rPr>
                <w:b w:val="0"/>
                <w:sz w:val="14"/>
              </w:rPr>
              <w:t>Not contributable — independence is the point</w:t>
            </w:r>
          </w:p>
        </w:tc>
        <w:tc>
          <w:tcPr>
            <w:tcW w:type="dxa" w:w="1871"/>
            <w:shd w:val="clear" w:fill="EAF4EF"/>
          </w:tcPr>
          <w:p>
            <w:pPr>
              <w:spacing w:after="20" w:before="20"/>
            </w:pPr>
            <w:r/>
            <w:r>
              <w:rPr>
                <w:b w:val="0"/>
                <w:sz w:val="14"/>
              </w:rPr>
              <w:t>€90–150 / h</w:t>
            </w:r>
          </w:p>
        </w:tc>
        <w:tc>
          <w:tcPr>
            <w:tcW w:type="dxa" w:w="2835"/>
            <w:shd w:val="clear" w:fill="EAF4EF"/>
          </w:tcPr>
          <w:p>
            <w:pPr>
              <w:spacing w:after="20" w:before="20"/>
            </w:pPr>
            <w:r/>
            <w:r>
              <w:rPr>
                <w:b w:val="0"/>
                <w:sz w:val="14"/>
              </w:rPr>
              <w:t>Audits the build, the custody chain and the destruction record.</w:t>
            </w:r>
          </w:p>
        </w:tc>
      </w:tr>
      <w:tr>
        <w:trPr>
          <w:cantSplit/>
        </w:trPr>
        <w:tc>
          <w:tcPr>
            <w:tcW w:type="dxa" w:w="1701"/>
          </w:tcPr>
          <w:p>
            <w:pPr>
              <w:spacing w:after="20" w:before="20"/>
            </w:pPr>
            <w:r/>
            <w:r>
              <w:rPr>
                <w:b w:val="0"/>
                <w:sz w:val="14"/>
              </w:rPr>
              <w:t>Ops / legal / governance</w:t>
            </w:r>
          </w:p>
        </w:tc>
        <w:tc>
          <w:tcPr>
            <w:tcW w:type="dxa" w:w="1474"/>
          </w:tcPr>
          <w:p>
            <w:pPr>
              <w:spacing w:after="20" w:before="20"/>
            </w:pPr>
            <w:r/>
            <w:r>
              <w:rPr>
                <w:b w:val="0"/>
                <w:sz w:val="14"/>
              </w:rPr>
              <w:t>Professional staff</w:t>
            </w:r>
          </w:p>
        </w:tc>
        <w:tc>
          <w:tcPr>
            <w:tcW w:type="dxa" w:w="1871"/>
          </w:tcPr>
          <w:p>
            <w:pPr>
              <w:spacing w:after="20" w:before="20"/>
            </w:pPr>
            <w:r/>
            <w:r>
              <w:rPr>
                <w:b w:val="0"/>
                <w:sz w:val="14"/>
              </w:rPr>
              <w:t>€55–85 / h loaded inside a host</w:t>
            </w:r>
          </w:p>
        </w:tc>
        <w:tc>
          <w:tcPr>
            <w:tcW w:type="dxa" w:w="1871"/>
          </w:tcPr>
          <w:p>
            <w:pPr>
              <w:spacing w:after="20" w:before="20"/>
            </w:pPr>
            <w:r/>
            <w:r>
              <w:rPr>
                <w:b w:val="0"/>
                <w:sz w:val="14"/>
              </w:rPr>
              <w:t>€90–140 / h; external DPO €8–15k / yr</w:t>
            </w:r>
          </w:p>
        </w:tc>
        <w:tc>
          <w:tcPr>
            <w:tcW w:type="dxa" w:w="2835"/>
          </w:tcPr>
          <w:p>
            <w:pPr>
              <w:spacing w:after="20" w:before="20"/>
            </w:pPr>
            <w:r/>
            <w:r>
              <w:rPr>
                <w:b w:val="0"/>
                <w:sz w:val="14"/>
              </w:rPr>
              <w:t>DPIA, contracts, oversight honoraria administration.</w:t>
            </w:r>
          </w:p>
        </w:tc>
      </w:tr>
      <w:tr>
        <w:trPr>
          <w:cantSplit/>
        </w:trPr>
        <w:tc>
          <w:tcPr>
            <w:tcW w:type="dxa" w:w="1701"/>
            <w:shd w:val="clear" w:fill="EAF4EF"/>
          </w:tcPr>
          <w:p>
            <w:pPr>
              <w:spacing w:after="20" w:before="20"/>
            </w:pPr>
            <w:r/>
            <w:r>
              <w:rPr>
                <w:b w:val="0"/>
                <w:sz w:val="14"/>
              </w:rPr>
              <w:t>Accreditation consultant</w:t>
            </w:r>
          </w:p>
        </w:tc>
        <w:tc>
          <w:tcPr>
            <w:tcW w:type="dxa" w:w="1474"/>
            <w:shd w:val="clear" w:fill="EAF4EF"/>
          </w:tcPr>
          <w:p>
            <w:pPr>
              <w:spacing w:after="20" w:before="20"/>
            </w:pPr>
            <w:r/>
            <w:r>
              <w:rPr>
                <w:b w:val="0"/>
                <w:sz w:val="14"/>
              </w:rPr>
              <w:t>Standards specialist</w:t>
            </w:r>
          </w:p>
        </w:tc>
        <w:tc>
          <w:tcPr>
            <w:tcW w:type="dxa" w:w="1871"/>
            <w:shd w:val="clear" w:fill="EAF4EF"/>
          </w:tcPr>
          <w:p>
            <w:pPr>
              <w:spacing w:after="20" w:before="20"/>
            </w:pPr>
            <w:r/>
            <w:r>
              <w:rPr>
                <w:b w:val="0"/>
                <w:sz w:val="14"/>
              </w:rPr>
              <w:t>—</w:t>
            </w:r>
          </w:p>
        </w:tc>
        <w:tc>
          <w:tcPr>
            <w:tcW w:type="dxa" w:w="1871"/>
            <w:shd w:val="clear" w:fill="EAF4EF"/>
          </w:tcPr>
          <w:p>
            <w:pPr>
              <w:spacing w:after="20" w:before="20"/>
            </w:pPr>
            <w:r/>
            <w:r>
              <w:rPr>
                <w:b w:val="0"/>
                <w:sz w:val="14"/>
              </w:rPr>
              <w:t>€90–130 / h</w:t>
            </w:r>
          </w:p>
        </w:tc>
        <w:tc>
          <w:tcPr>
            <w:tcW w:type="dxa" w:w="2835"/>
            <w:shd w:val="clear" w:fill="EAF4EF"/>
          </w:tcPr>
          <w:p>
            <w:pPr>
              <w:spacing w:after="20" w:before="20"/>
            </w:pPr>
            <w:r/>
            <w:r>
              <w:rPr>
                <w:b w:val="0"/>
                <w:sz w:val="14"/>
              </w:rPr>
              <w:t>WP7 scheme design and auditor curriculum. No consultant has been approached and no quote is held.</w:t>
            </w:r>
          </w:p>
        </w:tc>
      </w:tr>
      <w:tr>
        <w:trPr>
          <w:cantSplit/>
        </w:trPr>
        <w:tc>
          <w:tcPr>
            <w:tcW w:type="dxa" w:w="1701"/>
          </w:tcPr>
          <w:p>
            <w:pPr>
              <w:spacing w:after="20" w:before="20"/>
            </w:pPr>
            <w:r/>
            <w:r>
              <w:rPr>
                <w:b w:val="0"/>
                <w:sz w:val="14"/>
              </w:rPr>
              <w:t>Ethics review</w:t>
            </w:r>
          </w:p>
        </w:tc>
        <w:tc>
          <w:tcPr>
            <w:tcW w:type="dxa" w:w="1474"/>
          </w:tcPr>
          <w:p>
            <w:pPr>
              <w:spacing w:after="20" w:before="20"/>
            </w:pPr>
            <w:r/>
            <w:r>
              <w:rPr>
                <w:b w:val="0"/>
                <w:sz w:val="14"/>
              </w:rPr>
              <w:t>Committee with jurisdiction</w:t>
            </w:r>
          </w:p>
        </w:tc>
        <w:tc>
          <w:tcPr>
            <w:tcW w:type="dxa" w:w="1871"/>
          </w:tcPr>
          <w:p>
            <w:pPr>
              <w:spacing w:after="20" w:before="20"/>
            </w:pPr>
            <w:r/>
            <w:r>
              <w:rPr>
                <w:b w:val="0"/>
                <w:sz w:val="14"/>
              </w:rPr>
              <w:t>Nil if institutional</w:t>
            </w:r>
          </w:p>
        </w:tc>
        <w:tc>
          <w:tcPr>
            <w:tcW w:type="dxa" w:w="1871"/>
          </w:tcPr>
          <w:p>
            <w:pPr>
              <w:spacing w:after="20" w:before="20"/>
            </w:pPr>
            <w:r/>
            <w:r>
              <w:rPr>
                <w:b w:val="0"/>
                <w:sz w:val="14"/>
              </w:rPr>
              <w:t>PLACEHOLDER — nobody has been asked</w:t>
            </w:r>
          </w:p>
        </w:tc>
        <w:tc>
          <w:tcPr>
            <w:tcW w:type="dxa" w:w="2835"/>
          </w:tcPr>
          <w:p>
            <w:pPr>
              <w:spacing w:after="20" w:before="20"/>
            </w:pPr>
            <w:r/>
            <w:r>
              <w:rPr>
                <w:b w:val="0"/>
                <w:sz w:val="14"/>
              </w:rPr>
              <w:t>No committee has been identified that holds jurisdiction over contained induction work. This is an open item, not a price.</w:t>
            </w:r>
          </w:p>
        </w:tc>
      </w:tr>
      <w:tr>
        <w:trPr>
          <w:cantSplit/>
        </w:trPr>
        <w:tc>
          <w:tcPr>
            <w:tcW w:type="dxa" w:w="1701"/>
            <w:shd w:val="clear" w:fill="EAF4EF"/>
          </w:tcPr>
          <w:p>
            <w:pPr>
              <w:spacing w:after="20" w:before="20"/>
            </w:pPr>
            <w:r/>
            <w:r>
              <w:rPr>
                <w:b w:val="0"/>
                <w:sz w:val="14"/>
              </w:rPr>
              <w:t>Secure compute (containment tier)</w:t>
            </w:r>
          </w:p>
        </w:tc>
        <w:tc>
          <w:tcPr>
            <w:tcW w:type="dxa" w:w="1474"/>
            <w:shd w:val="clear" w:fill="EAF4EF"/>
          </w:tcPr>
          <w:p>
            <w:pPr>
              <w:spacing w:after="20" w:before="20"/>
            </w:pPr>
            <w:r/>
            <w:r>
              <w:rPr>
                <w:b w:val="0"/>
                <w:sz w:val="14"/>
              </w:rPr>
              <w:t>Hardware + hosting</w:t>
            </w:r>
          </w:p>
        </w:tc>
        <w:tc>
          <w:tcPr>
            <w:tcW w:type="dxa" w:w="1871"/>
            <w:shd w:val="clear" w:fill="EAF4EF"/>
          </w:tcPr>
          <w:p>
            <w:pPr>
              <w:spacing w:after="20" w:before="20"/>
            </w:pPr>
            <w:r/>
            <w:r>
              <w:rPr>
                <w:b w:val="0"/>
                <w:sz w:val="14"/>
              </w:rPr>
              <w:t>Shared academic secure lab, nil marginal</w:t>
            </w:r>
          </w:p>
        </w:tc>
        <w:tc>
          <w:tcPr>
            <w:tcW w:type="dxa" w:w="1871"/>
            <w:shd w:val="clear" w:fill="EAF4EF"/>
          </w:tcPr>
          <w:p>
            <w:pPr>
              <w:spacing w:after="20" w:before="20"/>
            </w:pPr>
            <w:r/>
            <w:r>
              <w:rPr>
                <w:b w:val="0"/>
                <w:sz w:val="14"/>
              </w:rPr>
              <w:t>PLACEHOLDER — no vendor quote</w:t>
            </w:r>
          </w:p>
        </w:tc>
        <w:tc>
          <w:tcPr>
            <w:tcW w:type="dxa" w:w="2835"/>
            <w:shd w:val="clear" w:fill="EAF4EF"/>
          </w:tcPr>
          <w:p>
            <w:pPr>
              <w:spacing w:after="20" w:before="20"/>
            </w:pPr>
            <w:r/>
            <w:r>
              <w:rPr>
                <w:b w:val="0"/>
                <w:sz w:val="14"/>
              </w:rPr>
              <w:t>Purchase-versus-rental decision is scheduled for month 6 (section 10).</w:t>
            </w:r>
          </w:p>
        </w:tc>
      </w:tr>
      <w:tr>
        <w:trPr>
          <w:cantSplit/>
        </w:trPr>
        <w:tc>
          <w:tcPr>
            <w:tcW w:type="dxa" w:w="1701"/>
          </w:tcPr>
          <w:p>
            <w:pPr>
              <w:spacing w:after="20" w:before="20"/>
            </w:pPr>
            <w:r/>
            <w:r>
              <w:rPr>
                <w:b w:val="0"/>
                <w:sz w:val="14"/>
              </w:rPr>
              <w:t>Model API access</w:t>
            </w:r>
          </w:p>
        </w:tc>
        <w:tc>
          <w:tcPr>
            <w:tcW w:type="dxa" w:w="1474"/>
          </w:tcPr>
          <w:p>
            <w:pPr>
              <w:spacing w:after="20" w:before="20"/>
            </w:pPr>
            <w:r/>
            <w:r>
              <w:rPr>
                <w:b w:val="0"/>
                <w:sz w:val="14"/>
              </w:rPr>
              <w:t>Frontier vendors</w:t>
            </w:r>
          </w:p>
        </w:tc>
        <w:tc>
          <w:tcPr>
            <w:tcW w:type="dxa" w:w="1871"/>
          </w:tcPr>
          <w:p>
            <w:pPr>
              <w:spacing w:after="20" w:before="20"/>
            </w:pPr>
            <w:r/>
            <w:r>
              <w:rPr>
                <w:b w:val="0"/>
                <w:sz w:val="14"/>
              </w:rPr>
              <w:t>Not contributable; research credits are possible but none applied for</w:t>
            </w:r>
          </w:p>
        </w:tc>
        <w:tc>
          <w:tcPr>
            <w:tcW w:type="dxa" w:w="1871"/>
          </w:tcPr>
          <w:p>
            <w:pPr>
              <w:spacing w:after="20" w:before="20"/>
            </w:pPr>
            <w:r/>
            <w:r>
              <w:rPr>
                <w:b w:val="0"/>
                <w:sz w:val="14"/>
              </w:rPr>
              <w:t>PLACEHOLDER — no framework agreement</w:t>
            </w:r>
          </w:p>
        </w:tc>
        <w:tc>
          <w:tcPr>
            <w:tcW w:type="dxa" w:w="2835"/>
          </w:tcPr>
          <w:p>
            <w:pPr>
              <w:spacing w:after="20" w:before="20"/>
            </w:pPr>
            <w:r/>
            <w:r>
              <w:rPr>
                <w:b w:val="0"/>
                <w:sz w:val="14"/>
              </w:rPr>
              <w:t>The €450,000 Core inference line rests on this row. Annex C shows the volume behind it and marks the unit price.</w:t>
            </w:r>
          </w:p>
        </w:tc>
      </w:tr>
    </w:tbl>
    <w:p>
      <w:pPr>
        <w:spacing w:after="100"/>
      </w:pPr>
      <w:r>
        <w:rPr>
          <w:b w:val="0"/>
          <w:i/>
          <w:sz w:val="16"/>
        </w:rPr>
        <w:t>Two columns, because the same hour has two prices. The contributed column is what an institution absorbs when it hosts the work; the bought column is what the programme pays when nobody does. Annual figures convert at 1,600 chargeable hours per FTE-year, and the divisor is stated so a reader can redo the sum. Rates are 2026 planning figures for Belgium and Western Europe, loaded with employer charges and institutional overhead at 20–25 per cent where the contributed column applies.</w:t>
      </w:r>
    </w:p>
    <w:p>
      <w:pPr>
        <w:spacing w:after="100"/>
      </w:pPr>
      <w:r>
        <w:rPr>
          <w:b w:val="0"/>
          <w:i w:val="0"/>
          <w:sz w:val="19"/>
        </w:rPr>
        <w:t>Every scenario in section 6 is costed on the contributed column for five cost lines: the principal investigator, the postdoctoral researchers, the doctoral researchers, the methodological core (statistician and psychometrician) and operations, legal and governance, the line that carries the ethics review. The institutional overhead sits inside those loaded rates rather than beside them. Naming all five matters, because the arithmetic in 6.8 converts all five and the earlier draft of this edition named only four in the prose — omitting the postdoctoral researchers, which are the largest single mover in the calculation. No institution has agreed to host this programme, and until one does, that column is an assumption rather than a rate. Section 6.8 prices the failure of the assumption, and it is not small.</w:t>
      </w:r>
    </w:p>
    <w:p>
      <w:pPr>
        <w:pStyle w:val="Heading2"/>
      </w:pPr>
      <w:r>
        <w:t>5.2 Resource model by scenario</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835"/>
            <w:shd w:val="clear" w:fill="0F2622"/>
          </w:tcPr>
          <w:p>
            <w:pPr>
              <w:spacing w:after="20" w:before="20"/>
            </w:pPr>
            <w:r/>
            <w:r>
              <w:rPr>
                <w:b/>
                <w:color w:val="FFFFFF"/>
                <w:sz w:val="14"/>
              </w:rPr>
              <w:t>Resource</w:t>
            </w:r>
          </w:p>
        </w:tc>
        <w:tc>
          <w:tcPr>
            <w:tcW w:type="dxa" w:w="1928"/>
            <w:shd w:val="clear" w:fill="0F2622"/>
          </w:tcPr>
          <w:p>
            <w:pPr>
              <w:spacing w:after="20" w:before="20"/>
            </w:pPr>
            <w:r/>
            <w:r>
              <w:rPr>
                <w:b/>
                <w:color w:val="FFFFFF"/>
                <w:sz w:val="14"/>
              </w:rPr>
              <w:t>Lean</w:t>
            </w:r>
          </w:p>
        </w:tc>
        <w:tc>
          <w:tcPr>
            <w:tcW w:type="dxa" w:w="2494"/>
            <w:shd w:val="clear" w:fill="0F2622"/>
          </w:tcPr>
          <w:p>
            <w:pPr>
              <w:spacing w:after="20" w:before="20"/>
            </w:pPr>
            <w:r/>
            <w:r>
              <w:rPr>
                <w:b/>
                <w:color w:val="FFFFFF"/>
                <w:sz w:val="14"/>
              </w:rPr>
              <w:t>Core</w:t>
            </w:r>
          </w:p>
        </w:tc>
        <w:tc>
          <w:tcPr>
            <w:tcW w:type="dxa" w:w="2381"/>
            <w:shd w:val="clear" w:fill="0F2622"/>
          </w:tcPr>
          <w:p>
            <w:pPr>
              <w:spacing w:after="20" w:before="20"/>
            </w:pPr>
            <w:r/>
            <w:r>
              <w:rPr>
                <w:b/>
                <w:color w:val="FFFFFF"/>
                <w:sz w:val="14"/>
              </w:rPr>
              <w:t>Full</w:t>
            </w:r>
          </w:p>
        </w:tc>
      </w:tr>
      <w:tr>
        <w:trPr>
          <w:cantSplit/>
        </w:trPr>
        <w:tc>
          <w:tcPr>
            <w:tcW w:type="dxa" w:w="2835"/>
          </w:tcPr>
          <w:p>
            <w:pPr>
              <w:spacing w:after="20" w:before="20"/>
            </w:pPr>
            <w:r/>
            <w:r>
              <w:rPr>
                <w:b w:val="0"/>
                <w:sz w:val="14"/>
              </w:rPr>
              <w:t>FTE at peak year, excluding the PI</w:t>
            </w:r>
          </w:p>
        </w:tc>
        <w:tc>
          <w:tcPr>
            <w:tcW w:type="dxa" w:w="1928"/>
          </w:tcPr>
          <w:p>
            <w:pPr>
              <w:spacing w:after="20" w:before="20"/>
            </w:pPr>
            <w:r/>
            <w:r>
              <w:rPr>
                <w:b w:val="0"/>
                <w:sz w:val="14"/>
              </w:rPr>
              <w:t>3.0</w:t>
            </w:r>
          </w:p>
        </w:tc>
        <w:tc>
          <w:tcPr>
            <w:tcW w:type="dxa" w:w="2494"/>
          </w:tcPr>
          <w:p>
            <w:pPr>
              <w:spacing w:after="20" w:before="20"/>
            </w:pPr>
            <w:r/>
            <w:r>
              <w:rPr>
                <w:b w:val="0"/>
                <w:sz w:val="14"/>
              </w:rPr>
              <w:t>8.0</w:t>
            </w:r>
          </w:p>
        </w:tc>
        <w:tc>
          <w:tcPr>
            <w:tcW w:type="dxa" w:w="2381"/>
          </w:tcPr>
          <w:p>
            <w:pPr>
              <w:spacing w:after="20" w:before="20"/>
            </w:pPr>
            <w:r/>
            <w:r>
              <w:rPr>
                <w:b w:val="0"/>
                <w:sz w:val="14"/>
              </w:rPr>
              <w:t>15.0</w:t>
            </w:r>
          </w:p>
        </w:tc>
      </w:tr>
      <w:tr>
        <w:trPr>
          <w:cantSplit/>
        </w:trPr>
        <w:tc>
          <w:tcPr>
            <w:tcW w:type="dxa" w:w="2835"/>
            <w:shd w:val="clear" w:fill="EAF4EF"/>
          </w:tcPr>
          <w:p>
            <w:pPr>
              <w:spacing w:after="20" w:before="20"/>
            </w:pPr>
            <w:r/>
            <w:r>
              <w:rPr>
                <w:b w:val="0"/>
                <w:sz w:val="14"/>
              </w:rPr>
              <w:t>Model inference &amp; compute envelope</w:t>
            </w:r>
          </w:p>
        </w:tc>
        <w:tc>
          <w:tcPr>
            <w:tcW w:type="dxa" w:w="1928"/>
            <w:shd w:val="clear" w:fill="EAF4EF"/>
          </w:tcPr>
          <w:p>
            <w:pPr>
              <w:spacing w:after="20" w:before="20"/>
            </w:pPr>
            <w:r/>
            <w:r>
              <w:rPr>
                <w:b w:val="0"/>
                <w:sz w:val="14"/>
              </w:rPr>
              <w:t>€90k</w:t>
            </w:r>
          </w:p>
        </w:tc>
        <w:tc>
          <w:tcPr>
            <w:tcW w:type="dxa" w:w="2494"/>
            <w:shd w:val="clear" w:fill="EAF4EF"/>
          </w:tcPr>
          <w:p>
            <w:pPr>
              <w:spacing w:after="20" w:before="20"/>
            </w:pPr>
            <w:r/>
            <w:r>
              <w:rPr>
                <w:b w:val="0"/>
                <w:sz w:val="14"/>
              </w:rPr>
              <w:t>€450k</w:t>
            </w:r>
          </w:p>
        </w:tc>
        <w:tc>
          <w:tcPr>
            <w:tcW w:type="dxa" w:w="2381"/>
            <w:shd w:val="clear" w:fill="EAF4EF"/>
          </w:tcPr>
          <w:p>
            <w:pPr>
              <w:spacing w:after="20" w:before="20"/>
            </w:pPr>
            <w:r/>
            <w:r>
              <w:rPr>
                <w:b w:val="0"/>
                <w:sz w:val="14"/>
              </w:rPr>
              <w:t>€1.2M</w:t>
            </w:r>
          </w:p>
        </w:tc>
      </w:tr>
      <w:tr>
        <w:trPr>
          <w:cantSplit/>
        </w:trPr>
        <w:tc>
          <w:tcPr>
            <w:tcW w:type="dxa" w:w="2835"/>
          </w:tcPr>
          <w:p>
            <w:pPr>
              <w:spacing w:after="20" w:before="20"/>
            </w:pPr>
            <w:r/>
            <w:r>
              <w:rPr>
                <w:b w:val="0"/>
                <w:sz w:val="14"/>
              </w:rPr>
              <w:t>Scored generations supported</w:t>
            </w:r>
          </w:p>
        </w:tc>
        <w:tc>
          <w:tcPr>
            <w:tcW w:type="dxa" w:w="1928"/>
          </w:tcPr>
          <w:p>
            <w:pPr>
              <w:spacing w:after="20" w:before="20"/>
            </w:pPr>
            <w:r/>
            <w:r>
              <w:rPr>
                <w:b w:val="0"/>
                <w:sz w:val="14"/>
              </w:rPr>
              <w:t>≈ 200k</w:t>
            </w:r>
          </w:p>
        </w:tc>
        <w:tc>
          <w:tcPr>
            <w:tcW w:type="dxa" w:w="2494"/>
          </w:tcPr>
          <w:p>
            <w:pPr>
              <w:spacing w:after="20" w:before="20"/>
            </w:pPr>
            <w:r/>
            <w:r>
              <w:rPr>
                <w:b w:val="0"/>
                <w:sz w:val="14"/>
              </w:rPr>
              <w:t>≈ 668k (Annex C)</w:t>
            </w:r>
          </w:p>
        </w:tc>
        <w:tc>
          <w:tcPr>
            <w:tcW w:type="dxa" w:w="2381"/>
          </w:tcPr>
          <w:p>
            <w:pPr>
              <w:spacing w:after="20" w:before="20"/>
            </w:pPr>
            <w:r/>
            <w:r>
              <w:rPr>
                <w:b w:val="0"/>
                <w:sz w:val="14"/>
              </w:rPr>
              <w:t>≈ 1.6–2.1M (incl. replications)</w:t>
            </w:r>
          </w:p>
        </w:tc>
      </w:tr>
      <w:tr>
        <w:trPr>
          <w:cantSplit/>
        </w:trPr>
        <w:tc>
          <w:tcPr>
            <w:tcW w:type="dxa" w:w="2835"/>
            <w:shd w:val="clear" w:fill="EAF4EF"/>
          </w:tcPr>
          <w:p>
            <w:pPr>
              <w:spacing w:after="20" w:before="20"/>
            </w:pPr>
            <w:r/>
            <w:r>
              <w:rPr>
                <w:b w:val="0"/>
                <w:sz w:val="14"/>
              </w:rPr>
              <w:t>Differential batteries funded</w:t>
            </w:r>
          </w:p>
        </w:tc>
        <w:tc>
          <w:tcPr>
            <w:tcW w:type="dxa" w:w="1928"/>
            <w:shd w:val="clear" w:fill="EAF4EF"/>
          </w:tcPr>
          <w:p>
            <w:pPr>
              <w:spacing w:after="20" w:before="20"/>
            </w:pPr>
            <w:r/>
            <w:r>
              <w:rPr>
                <w:b w:val="0"/>
                <w:sz w:val="14"/>
              </w:rPr>
              <w:t>priority set only, single family</w:t>
            </w:r>
          </w:p>
        </w:tc>
        <w:tc>
          <w:tcPr>
            <w:tcW w:type="dxa" w:w="2494"/>
            <w:shd w:val="clear" w:fill="EAF4EF"/>
          </w:tcPr>
          <w:p>
            <w:pPr>
              <w:spacing w:after="20" w:before="20"/>
            </w:pPr>
            <w:r/>
            <w:r>
              <w:rPr>
                <w:b w:val="0"/>
                <w:sz w:val="14"/>
              </w:rPr>
              <w:t>46 entries; 141 of the 218 named pairs touched, reaching 85 entries</w:t>
            </w:r>
          </w:p>
        </w:tc>
        <w:tc>
          <w:tcPr>
            <w:tcW w:type="dxa" w:w="2381"/>
            <w:shd w:val="clear" w:fill="EAF4EF"/>
          </w:tcPr>
          <w:p>
            <w:pPr>
              <w:spacing w:after="20" w:before="20"/>
            </w:pPr>
            <w:r/>
            <w:r>
              <w:rPr>
                <w:b w:val="0"/>
                <w:sz w:val="14"/>
              </w:rPr>
              <w:t>46 entries across three families</w:t>
            </w:r>
          </w:p>
        </w:tc>
      </w:tr>
      <w:tr>
        <w:trPr>
          <w:cantSplit/>
        </w:trPr>
        <w:tc>
          <w:tcPr>
            <w:tcW w:type="dxa" w:w="2835"/>
          </w:tcPr>
          <w:p>
            <w:pPr>
              <w:spacing w:after="20" w:before="20"/>
            </w:pPr>
            <w:r/>
            <w:r>
              <w:rPr>
                <w:b w:val="0"/>
                <w:sz w:val="14"/>
              </w:rPr>
              <w:t>Annotation hours purchased (Annex C.3)</w:t>
            </w:r>
          </w:p>
        </w:tc>
        <w:tc>
          <w:tcPr>
            <w:tcW w:type="dxa" w:w="1928"/>
          </w:tcPr>
          <w:p>
            <w:pPr>
              <w:spacing w:after="20" w:before="20"/>
            </w:pPr>
            <w:r/>
            <w:r>
              <w:rPr>
                <w:b w:val="0"/>
                <w:sz w:val="14"/>
              </w:rPr>
              <w:t>≈ 1,200 h</w:t>
            </w:r>
          </w:p>
        </w:tc>
        <w:tc>
          <w:tcPr>
            <w:tcW w:type="dxa" w:w="2494"/>
          </w:tcPr>
          <w:p>
            <w:pPr>
              <w:spacing w:after="20" w:before="20"/>
            </w:pPr>
            <w:r/>
            <w:r>
              <w:rPr>
                <w:b w:val="0"/>
                <w:sz w:val="14"/>
              </w:rPr>
              <w:t>≈ 6,000 h</w:t>
            </w:r>
          </w:p>
        </w:tc>
        <w:tc>
          <w:tcPr>
            <w:tcW w:type="dxa" w:w="2381"/>
          </w:tcPr>
          <w:p>
            <w:pPr>
              <w:spacing w:after="20" w:before="20"/>
            </w:pPr>
            <w:r/>
            <w:r>
              <w:rPr>
                <w:b w:val="0"/>
                <w:sz w:val="14"/>
              </w:rPr>
              <w:t>≈ 14,800 h</w:t>
            </w:r>
          </w:p>
        </w:tc>
      </w:tr>
      <w:tr>
        <w:trPr>
          <w:cantSplit/>
        </w:trPr>
        <w:tc>
          <w:tcPr>
            <w:tcW w:type="dxa" w:w="2835"/>
            <w:shd w:val="clear" w:fill="EAF4EF"/>
          </w:tcPr>
          <w:p>
            <w:pPr>
              <w:spacing w:after="20" w:before="20"/>
            </w:pPr>
            <w:r/>
            <w:r>
              <w:rPr>
                <w:b w:val="0"/>
                <w:sz w:val="14"/>
              </w:rPr>
              <w:t>Containment facility</w:t>
            </w:r>
          </w:p>
        </w:tc>
        <w:tc>
          <w:tcPr>
            <w:tcW w:type="dxa" w:w="1928"/>
            <w:shd w:val="clear" w:fill="EAF4EF"/>
          </w:tcPr>
          <w:p>
            <w:pPr>
              <w:spacing w:after="20" w:before="20"/>
            </w:pPr>
            <w:r/>
            <w:r>
              <w:rPr>
                <w:b w:val="0"/>
                <w:sz w:val="14"/>
              </w:rPr>
              <w:t>Shared academic secure lab</w:t>
            </w:r>
          </w:p>
        </w:tc>
        <w:tc>
          <w:tcPr>
            <w:tcW w:type="dxa" w:w="2494"/>
            <w:shd w:val="clear" w:fill="EAF4EF"/>
          </w:tcPr>
          <w:p>
            <w:pPr>
              <w:spacing w:after="20" w:before="20"/>
            </w:pPr>
            <w:r/>
            <w:r>
              <w:rPr>
                <w:b w:val="0"/>
                <w:sz w:val="14"/>
              </w:rPr>
              <w:t>Dedicated air-gapped node + agentic sandbox (4.7)</w:t>
            </w:r>
          </w:p>
        </w:tc>
        <w:tc>
          <w:tcPr>
            <w:tcW w:type="dxa" w:w="2381"/>
            <w:shd w:val="clear" w:fill="EAF4EF"/>
          </w:tcPr>
          <w:p>
            <w:pPr>
              <w:spacing w:after="20" w:before="20"/>
            </w:pPr>
            <w:r/>
            <w:r>
              <w:rPr>
                <w:b w:val="0"/>
                <w:sz w:val="14"/>
              </w:rPr>
              <w:t>Hardened facility with custody vault</w:t>
            </w:r>
          </w:p>
        </w:tc>
      </w:tr>
      <w:tr>
        <w:trPr>
          <w:cantSplit/>
        </w:trPr>
        <w:tc>
          <w:tcPr>
            <w:tcW w:type="dxa" w:w="2835"/>
          </w:tcPr>
          <w:p>
            <w:pPr>
              <w:spacing w:after="20" w:before="20"/>
            </w:pPr>
            <w:r/>
            <w:r>
              <w:rPr>
                <w:b w:val="0"/>
                <w:sz w:val="14"/>
              </w:rPr>
              <w:t>Partner labs</w:t>
            </w:r>
          </w:p>
        </w:tc>
        <w:tc>
          <w:tcPr>
            <w:tcW w:type="dxa" w:w="1928"/>
          </w:tcPr>
          <w:p>
            <w:pPr>
              <w:spacing w:after="20" w:before="20"/>
            </w:pPr>
            <w:r/>
            <w:r>
              <w:rPr>
                <w:b w:val="0"/>
                <w:sz w:val="14"/>
              </w:rPr>
              <w:t>1 (host)</w:t>
            </w:r>
          </w:p>
        </w:tc>
        <w:tc>
          <w:tcPr>
            <w:tcW w:type="dxa" w:w="2494"/>
          </w:tcPr>
          <w:p>
            <w:pPr>
              <w:spacing w:after="20" w:before="20"/>
            </w:pPr>
            <w:r/>
            <w:r>
              <w:rPr>
                <w:b w:val="0"/>
                <w:sz w:val="14"/>
              </w:rPr>
              <w:t>2</w:t>
            </w:r>
          </w:p>
        </w:tc>
        <w:tc>
          <w:tcPr>
            <w:tcW w:type="dxa" w:w="2381"/>
          </w:tcPr>
          <w:p>
            <w:pPr>
              <w:spacing w:after="20" w:before="20"/>
            </w:pPr>
            <w:r/>
            <w:r>
              <w:rPr>
                <w:b w:val="0"/>
                <w:sz w:val="14"/>
              </w:rPr>
              <w:t>3 + interpretability partner</w:t>
            </w:r>
          </w:p>
        </w:tc>
      </w:tr>
      <w:tr>
        <w:trPr>
          <w:cantSplit/>
        </w:trPr>
        <w:tc>
          <w:tcPr>
            <w:tcW w:type="dxa" w:w="2835"/>
            <w:shd w:val="clear" w:fill="EAF4EF"/>
          </w:tcPr>
          <w:p>
            <w:pPr>
              <w:spacing w:after="20" w:before="20"/>
            </w:pPr>
            <w:r/>
            <w:r>
              <w:rPr>
                <w:b w:val="0"/>
                <w:sz w:val="14"/>
              </w:rPr>
              <w:t>Training school editions (at €35k each, task 9.3)</w:t>
            </w:r>
          </w:p>
        </w:tc>
        <w:tc>
          <w:tcPr>
            <w:tcW w:type="dxa" w:w="1928"/>
            <w:shd w:val="clear" w:fill="EAF4EF"/>
          </w:tcPr>
          <w:p>
            <w:pPr>
              <w:spacing w:after="20" w:before="20"/>
            </w:pPr>
            <w:r/>
            <w:r>
              <w:rPr>
                <w:b w:val="0"/>
                <w:sz w:val="14"/>
              </w:rPr>
              <w:t>0</w:t>
            </w:r>
          </w:p>
        </w:tc>
        <w:tc>
          <w:tcPr>
            <w:tcW w:type="dxa" w:w="2494"/>
            <w:shd w:val="clear" w:fill="EAF4EF"/>
          </w:tcPr>
          <w:p>
            <w:pPr>
              <w:spacing w:after="20" w:before="20"/>
            </w:pPr>
            <w:r/>
            <w:r>
              <w:rPr>
                <w:b w:val="0"/>
                <w:sz w:val="14"/>
              </w:rPr>
              <w:t>2 (€70,000)</w:t>
            </w:r>
          </w:p>
        </w:tc>
        <w:tc>
          <w:tcPr>
            <w:tcW w:type="dxa" w:w="2381"/>
            <w:shd w:val="clear" w:fill="EAF4EF"/>
          </w:tcPr>
          <w:p>
            <w:pPr>
              <w:spacing w:after="20" w:before="20"/>
            </w:pPr>
            <w:r/>
            <w:r>
              <w:rPr>
                <w:b w:val="0"/>
                <w:sz w:val="14"/>
              </w:rPr>
              <w:t>5 (€180,000)</w:t>
            </w:r>
          </w:p>
        </w:tc>
      </w:tr>
      <w:tr>
        <w:trPr>
          <w:cantSplit/>
        </w:trPr>
        <w:tc>
          <w:tcPr>
            <w:tcW w:type="dxa" w:w="2835"/>
          </w:tcPr>
          <w:p>
            <w:pPr>
              <w:spacing w:after="20" w:before="20"/>
            </w:pPr>
            <w:r/>
            <w:r>
              <w:rPr>
                <w:b w:val="0"/>
                <w:sz w:val="14"/>
              </w:rPr>
              <w:t>Regulatory sandbox pilots (task 7.6, D27)</w:t>
            </w:r>
          </w:p>
        </w:tc>
        <w:tc>
          <w:tcPr>
            <w:tcW w:type="dxa" w:w="1928"/>
          </w:tcPr>
          <w:p>
            <w:pPr>
              <w:spacing w:after="20" w:before="20"/>
            </w:pPr>
            <w:r/>
            <w:r>
              <w:rPr>
                <w:b w:val="0"/>
                <w:sz w:val="14"/>
              </w:rPr>
              <w:t>0</w:t>
            </w:r>
          </w:p>
        </w:tc>
        <w:tc>
          <w:tcPr>
            <w:tcW w:type="dxa" w:w="2494"/>
          </w:tcPr>
          <w:p>
            <w:pPr>
              <w:spacing w:after="20" w:before="20"/>
            </w:pPr>
            <w:r/>
            <w:r>
              <w:rPr>
                <w:b w:val="0"/>
                <w:sz w:val="14"/>
              </w:rPr>
              <w:t>2 — the two authorities named in 2.3 and in the milestone</w:t>
            </w:r>
          </w:p>
        </w:tc>
        <w:tc>
          <w:tcPr>
            <w:tcW w:type="dxa" w:w="2381"/>
          </w:tcPr>
          <w:p>
            <w:pPr>
              <w:spacing w:after="20" w:before="20"/>
            </w:pPr>
            <w:r/>
            <w:r>
              <w:rPr>
                <w:b w:val="0"/>
                <w:sz w:val="14"/>
              </w:rPr>
              <w:t>2, plus one voluntary vendor certification</w:t>
            </w:r>
          </w:p>
        </w:tc>
      </w:tr>
      <w:tr>
        <w:trPr>
          <w:cantSplit/>
        </w:trPr>
        <w:tc>
          <w:tcPr>
            <w:tcW w:type="dxa" w:w="2835"/>
            <w:shd w:val="clear" w:fill="EAF4EF"/>
          </w:tcPr>
          <w:p>
            <w:pPr>
              <w:spacing w:after="20" w:before="20"/>
            </w:pPr>
            <w:r/>
            <w:r>
              <w:rPr>
                <w:b w:val="0"/>
                <w:sz w:val="14"/>
              </w:rPr>
              <w:t>Contingency, as a percentage of the lines above</w:t>
            </w:r>
          </w:p>
        </w:tc>
        <w:tc>
          <w:tcPr>
            <w:tcW w:type="dxa" w:w="1928"/>
            <w:shd w:val="clear" w:fill="EAF4EF"/>
          </w:tcPr>
          <w:p>
            <w:pPr>
              <w:spacing w:after="20" w:before="20"/>
            </w:pPr>
            <w:r/>
            <w:r>
              <w:rPr>
                <w:b w:val="0"/>
                <w:sz w:val="14"/>
              </w:rPr>
              <w:t>4.6% (€47,500)</w:t>
            </w:r>
          </w:p>
        </w:tc>
        <w:tc>
          <w:tcPr>
            <w:tcW w:type="dxa" w:w="2494"/>
            <w:shd w:val="clear" w:fill="EAF4EF"/>
          </w:tcPr>
          <w:p>
            <w:pPr>
              <w:spacing w:after="20" w:before="20"/>
            </w:pPr>
            <w:r/>
            <w:r>
              <w:rPr>
                <w:b w:val="0"/>
                <w:sz w:val="14"/>
              </w:rPr>
              <w:t>8.8% (€320,000)</w:t>
            </w:r>
          </w:p>
        </w:tc>
        <w:tc>
          <w:tcPr>
            <w:tcW w:type="dxa" w:w="2381"/>
            <w:shd w:val="clear" w:fill="EAF4EF"/>
          </w:tcPr>
          <w:p>
            <w:pPr>
              <w:spacing w:after="20" w:before="20"/>
            </w:pPr>
            <w:r/>
            <w:r>
              <w:rPr>
                <w:b w:val="0"/>
                <w:sz w:val="14"/>
              </w:rPr>
              <w:t>12.4% (€1,030,000)</w:t>
            </w:r>
          </w:p>
        </w:tc>
      </w:tr>
    </w:tbl>
    <w:p>
      <w:pPr>
        <w:spacing w:after="100"/>
      </w:pPr>
      <w:r>
        <w:rPr>
          <w:b w:val="0"/>
          <w:i/>
          <w:sz w:val="16"/>
        </w:rPr>
        <w:t>The instrument is axis-level and stays that way: SCT-2.0 measures ten axis constructs with a 360-item bank, and ninety catalogue entries do not fit a 360-item bank at one battery per entry. Trait-level differential work lives in WP3 and is funded for a pre-registered priority set of 46 entries. The generation volumes above are built from the blocks in Annex C rather than asserted; the euro envelopes are not, and Annex C says which part of them is a placeholder. The peak-FTE row is computed from the staffing plans in 5.3 and Annex B on one rule — every role except the principal investigator — and it reads higher than the v1.0 row for Core and Full, because v1.0 applied that rule only to Lean and silently dropped operations and support from the other two (OI-13).</w:t>
      </w:r>
    </w:p>
    <w:p>
      <w:pPr>
        <w:spacing w:after="100"/>
      </w:pPr>
      <w:r>
        <w:rPr>
          <w:b w:val="0"/>
          <w:i/>
          <w:sz w:val="16"/>
        </w:rPr>
        <w:t>Three rows are corrected in v1.1 and the corrections are worth naming, because each was a place where this table disagreed with the rest of the plan. The training-school row read 0 / 1 / 2 editions against cost lines of €0, €70,000 and €180,000 at task 9.3's stated €35,000 an edition; the row now says what the money buys. The regulatory-pilot row said one pilot in Core while 2.3, task 7.6, D27 and the certification milestone all say two; two is correct and the cost of the discrepancy was that the Core scenario appeared to fund less than its own success criteria require. And the contingency row now carries the percentages the cost lines actually apply rather than the rounded label the shared cost model uses: the Core line is 8.8 per cent of the lines beneath it, not ten. Section 6.7 invites the reader to recompute these numbers, so they have to be recomputable.</w:t>
      </w:r>
    </w:p>
    <w:p>
      <w:pPr>
        <w:pStyle w:val="Heading2"/>
      </w:pPr>
      <w:r>
        <w:t>5.3 Staffing plan (FTE by year, Core scenario)</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cantSplit/>
        </w:trPr>
        <w:tc>
          <w:tcPr>
            <w:tcW w:type="dxa" w:w="3061"/>
            <w:shd w:val="clear" w:fill="0F2622"/>
          </w:tcPr>
          <w:p>
            <w:pPr>
              <w:spacing w:after="20" w:before="20"/>
            </w:pPr>
            <w:r/>
            <w:r>
              <w:rPr>
                <w:b/>
                <w:color w:val="FFFFFF"/>
                <w:sz w:val="14"/>
              </w:rPr>
              <w:t>Role</w:t>
            </w:r>
          </w:p>
        </w:tc>
        <w:tc>
          <w:tcPr>
            <w:tcW w:type="dxa" w:w="850"/>
            <w:shd w:val="clear" w:fill="0F2622"/>
          </w:tcPr>
          <w:p>
            <w:pPr>
              <w:spacing w:after="20" w:before="20"/>
            </w:pPr>
            <w:r/>
            <w:r>
              <w:rPr>
                <w:b/>
                <w:color w:val="FFFFFF"/>
                <w:sz w:val="14"/>
              </w:rPr>
              <w:t>Y1</w:t>
            </w:r>
          </w:p>
        </w:tc>
        <w:tc>
          <w:tcPr>
            <w:tcW w:type="dxa" w:w="850"/>
            <w:shd w:val="clear" w:fill="0F2622"/>
          </w:tcPr>
          <w:p>
            <w:pPr>
              <w:spacing w:after="20" w:before="20"/>
            </w:pPr>
            <w:r/>
            <w:r>
              <w:rPr>
                <w:b/>
                <w:color w:val="FFFFFF"/>
                <w:sz w:val="14"/>
              </w:rPr>
              <w:t>Y2</w:t>
            </w:r>
          </w:p>
        </w:tc>
        <w:tc>
          <w:tcPr>
            <w:tcW w:type="dxa" w:w="850"/>
            <w:shd w:val="clear" w:fill="0F2622"/>
          </w:tcPr>
          <w:p>
            <w:pPr>
              <w:spacing w:after="20" w:before="20"/>
            </w:pPr>
            <w:r/>
            <w:r>
              <w:rPr>
                <w:b/>
                <w:color w:val="FFFFFF"/>
                <w:sz w:val="14"/>
              </w:rPr>
              <w:t>Y3</w:t>
            </w:r>
          </w:p>
        </w:tc>
        <w:tc>
          <w:tcPr>
            <w:tcW w:type="dxa" w:w="850"/>
            <w:shd w:val="clear" w:fill="0F2622"/>
          </w:tcPr>
          <w:p>
            <w:pPr>
              <w:spacing w:after="20" w:before="20"/>
            </w:pPr>
            <w:r/>
            <w:r>
              <w:rPr>
                <w:b/>
                <w:color w:val="FFFFFF"/>
                <w:sz w:val="14"/>
              </w:rPr>
              <w:t>Y4</w:t>
            </w:r>
          </w:p>
        </w:tc>
        <w:tc>
          <w:tcPr>
            <w:tcW w:type="dxa" w:w="850"/>
            <w:shd w:val="clear" w:fill="0F2622"/>
          </w:tcPr>
          <w:p>
            <w:pPr>
              <w:spacing w:after="20" w:before="20"/>
            </w:pPr>
            <w:r/>
            <w:r>
              <w:rPr>
                <w:b/>
                <w:color w:val="FFFFFF"/>
                <w:sz w:val="14"/>
              </w:rPr>
              <w:t>Total FTE-years</w:t>
            </w:r>
          </w:p>
        </w:tc>
      </w:tr>
      <w:tr>
        <w:trPr>
          <w:cantSplit/>
        </w:trPr>
        <w:tc>
          <w:tcPr>
            <w:tcW w:type="dxa" w:w="3061"/>
          </w:tcPr>
          <w:p>
            <w:pPr>
              <w:spacing w:after="20" w:before="20"/>
            </w:pPr>
            <w:r/>
            <w:r>
              <w:rPr>
                <w:b w:val="0"/>
                <w:sz w:val="14"/>
              </w:rPr>
              <w:t>Principal investigator (0.5)</w:t>
            </w:r>
          </w:p>
        </w:tc>
        <w:tc>
          <w:tcPr>
            <w:tcW w:type="dxa" w:w="850"/>
          </w:tcPr>
          <w:p>
            <w:pPr>
              <w:spacing w:after="20" w:before="20"/>
            </w:pPr>
            <w:r/>
            <w:r>
              <w:rPr>
                <w:b w:val="0"/>
                <w:sz w:val="14"/>
              </w:rPr>
              <w:t>0.5</w:t>
            </w:r>
          </w:p>
        </w:tc>
        <w:tc>
          <w:tcPr>
            <w:tcW w:type="dxa" w:w="850"/>
          </w:tcPr>
          <w:p>
            <w:pPr>
              <w:spacing w:after="20" w:before="20"/>
            </w:pPr>
            <w:r/>
            <w:r>
              <w:rPr>
                <w:b w:val="0"/>
                <w:sz w:val="14"/>
              </w:rPr>
              <w:t>0.5</w:t>
            </w:r>
          </w:p>
        </w:tc>
        <w:tc>
          <w:tcPr>
            <w:tcW w:type="dxa" w:w="850"/>
          </w:tcPr>
          <w:p>
            <w:pPr>
              <w:spacing w:after="20" w:before="20"/>
            </w:pPr>
            <w:r/>
            <w:r>
              <w:rPr>
                <w:b w:val="0"/>
                <w:sz w:val="14"/>
              </w:rPr>
              <w:t>0.5</w:t>
            </w:r>
          </w:p>
        </w:tc>
        <w:tc>
          <w:tcPr>
            <w:tcW w:type="dxa" w:w="850"/>
          </w:tcPr>
          <w:p>
            <w:pPr>
              <w:spacing w:after="20" w:before="20"/>
            </w:pPr>
            <w:r/>
            <w:r>
              <w:rPr>
                <w:b w:val="0"/>
                <w:sz w:val="14"/>
              </w:rPr>
              <w:t>0.5</w:t>
            </w:r>
          </w:p>
        </w:tc>
        <w:tc>
          <w:tcPr>
            <w:tcW w:type="dxa" w:w="850"/>
          </w:tcPr>
          <w:p>
            <w:pPr>
              <w:spacing w:after="20" w:before="20"/>
            </w:pPr>
            <w:r/>
            <w:r>
              <w:rPr>
                <w:b w:val="0"/>
                <w:sz w:val="14"/>
              </w:rPr>
              <w:t>2.0</w:t>
            </w:r>
          </w:p>
        </w:tc>
      </w:tr>
      <w:tr>
        <w:trPr>
          <w:cantSplit/>
        </w:trPr>
        <w:tc>
          <w:tcPr>
            <w:tcW w:type="dxa" w:w="3061"/>
            <w:shd w:val="clear" w:fill="EAF4EF"/>
          </w:tcPr>
          <w:p>
            <w:pPr>
              <w:spacing w:after="20" w:before="20"/>
            </w:pPr>
            <w:r/>
            <w:r>
              <w:rPr>
                <w:b w:val="0"/>
                <w:sz w:val="14"/>
              </w:rPr>
              <w:t>Psychometrician (0.5)</w:t>
            </w:r>
          </w:p>
        </w:tc>
        <w:tc>
          <w:tcPr>
            <w:tcW w:type="dxa" w:w="850"/>
            <w:shd w:val="clear" w:fill="EAF4EF"/>
          </w:tcPr>
          <w:p>
            <w:pPr>
              <w:spacing w:after="20" w:before="20"/>
            </w:pPr>
            <w:r/>
            <w:r>
              <w:rPr>
                <w:b w:val="0"/>
                <w:sz w:val="14"/>
              </w:rPr>
              <w:t>0.3</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1.8</w:t>
            </w:r>
          </w:p>
        </w:tc>
      </w:tr>
      <w:tr>
        <w:trPr>
          <w:cantSplit/>
        </w:trPr>
        <w:tc>
          <w:tcPr>
            <w:tcW w:type="dxa" w:w="3061"/>
          </w:tcPr>
          <w:p>
            <w:pPr>
              <w:spacing w:after="20" w:before="20"/>
            </w:pPr>
            <w:r/>
            <w:r>
              <w:rPr>
                <w:b w:val="0"/>
                <w:sz w:val="14"/>
              </w:rPr>
              <w:t>Postdoctoral researchers (2)</w:t>
            </w:r>
          </w:p>
        </w:tc>
        <w:tc>
          <w:tcPr>
            <w:tcW w:type="dxa" w:w="850"/>
          </w:tcPr>
          <w:p>
            <w:pPr>
              <w:spacing w:after="20" w:before="20"/>
            </w:pPr>
            <w:r/>
            <w:r>
              <w:rPr>
                <w:b w:val="0"/>
                <w:sz w:val="14"/>
              </w:rPr>
              <w:t>1.0</w:t>
            </w:r>
          </w:p>
        </w:tc>
        <w:tc>
          <w:tcPr>
            <w:tcW w:type="dxa" w:w="850"/>
          </w:tcPr>
          <w:p>
            <w:pPr>
              <w:spacing w:after="20" w:before="20"/>
            </w:pPr>
            <w:r/>
            <w:r>
              <w:rPr>
                <w:b w:val="0"/>
                <w:sz w:val="14"/>
              </w:rPr>
              <w:t>2.0</w:t>
            </w:r>
          </w:p>
        </w:tc>
        <w:tc>
          <w:tcPr>
            <w:tcW w:type="dxa" w:w="850"/>
          </w:tcPr>
          <w:p>
            <w:pPr>
              <w:spacing w:after="20" w:before="20"/>
            </w:pPr>
            <w:r/>
            <w:r>
              <w:rPr>
                <w:b w:val="0"/>
                <w:sz w:val="14"/>
              </w:rPr>
              <w:t>2.0</w:t>
            </w:r>
          </w:p>
        </w:tc>
        <w:tc>
          <w:tcPr>
            <w:tcW w:type="dxa" w:w="850"/>
          </w:tcPr>
          <w:p>
            <w:pPr>
              <w:spacing w:after="20" w:before="20"/>
            </w:pPr>
            <w:r/>
            <w:r>
              <w:rPr>
                <w:b w:val="0"/>
                <w:sz w:val="14"/>
              </w:rPr>
              <w:t>1.0</w:t>
            </w:r>
          </w:p>
        </w:tc>
        <w:tc>
          <w:tcPr>
            <w:tcW w:type="dxa" w:w="850"/>
          </w:tcPr>
          <w:p>
            <w:pPr>
              <w:spacing w:after="20" w:before="20"/>
            </w:pPr>
            <w:r/>
            <w:r>
              <w:rPr>
                <w:b w:val="0"/>
                <w:sz w:val="14"/>
              </w:rPr>
              <w:t>6.0</w:t>
            </w:r>
          </w:p>
        </w:tc>
      </w:tr>
      <w:tr>
        <w:trPr>
          <w:cantSplit/>
        </w:trPr>
        <w:tc>
          <w:tcPr>
            <w:tcW w:type="dxa" w:w="3061"/>
            <w:shd w:val="clear" w:fill="EAF4EF"/>
          </w:tcPr>
          <w:p>
            <w:pPr>
              <w:spacing w:after="20" w:before="20"/>
            </w:pPr>
            <w:r/>
            <w:r>
              <w:rPr>
                <w:b w:val="0"/>
                <w:sz w:val="14"/>
              </w:rPr>
              <w:t>Doctoral researchers (2)</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2.0</w:t>
            </w:r>
          </w:p>
        </w:tc>
        <w:tc>
          <w:tcPr>
            <w:tcW w:type="dxa" w:w="850"/>
            <w:shd w:val="clear" w:fill="EAF4EF"/>
          </w:tcPr>
          <w:p>
            <w:pPr>
              <w:spacing w:after="20" w:before="20"/>
            </w:pPr>
            <w:r/>
            <w:r>
              <w:rPr>
                <w:b w:val="0"/>
                <w:sz w:val="14"/>
              </w:rPr>
              <w:t>2.0</w:t>
            </w:r>
          </w:p>
        </w:tc>
        <w:tc>
          <w:tcPr>
            <w:tcW w:type="dxa" w:w="850"/>
            <w:shd w:val="clear" w:fill="EAF4EF"/>
          </w:tcPr>
          <w:p>
            <w:pPr>
              <w:spacing w:after="20" w:before="20"/>
            </w:pPr>
            <w:r/>
            <w:r>
              <w:rPr>
                <w:b w:val="0"/>
                <w:sz w:val="14"/>
              </w:rPr>
              <w:t>6.0</w:t>
            </w:r>
          </w:p>
        </w:tc>
      </w:tr>
      <w:tr>
        <w:trPr>
          <w:cantSplit/>
        </w:trPr>
        <w:tc>
          <w:tcPr>
            <w:tcW w:type="dxa" w:w="3061"/>
          </w:tcPr>
          <w:p>
            <w:pPr>
              <w:spacing w:after="20" w:before="20"/>
            </w:pPr>
            <w:r/>
            <w:r>
              <w:rPr>
                <w:b w:val="0"/>
                <w:sz w:val="14"/>
              </w:rPr>
              <w:t>Research engineer (1.5)</w:t>
            </w:r>
          </w:p>
        </w:tc>
        <w:tc>
          <w:tcPr>
            <w:tcW w:type="dxa" w:w="850"/>
          </w:tcPr>
          <w:p>
            <w:pPr>
              <w:spacing w:after="20" w:before="20"/>
            </w:pPr>
            <w:r/>
            <w:r>
              <w:rPr>
                <w:b w:val="0"/>
                <w:sz w:val="14"/>
              </w:rPr>
              <w:t>1.5</w:t>
            </w:r>
          </w:p>
        </w:tc>
        <w:tc>
          <w:tcPr>
            <w:tcW w:type="dxa" w:w="850"/>
          </w:tcPr>
          <w:p>
            <w:pPr>
              <w:spacing w:after="20" w:before="20"/>
            </w:pPr>
            <w:r/>
            <w:r>
              <w:rPr>
                <w:b w:val="0"/>
                <w:sz w:val="14"/>
              </w:rPr>
              <w:t>1.5</w:t>
            </w:r>
          </w:p>
        </w:tc>
        <w:tc>
          <w:tcPr>
            <w:tcW w:type="dxa" w:w="850"/>
          </w:tcPr>
          <w:p>
            <w:pPr>
              <w:spacing w:after="20" w:before="20"/>
            </w:pPr>
            <w:r/>
            <w:r>
              <w:rPr>
                <w:b w:val="0"/>
                <w:sz w:val="14"/>
              </w:rPr>
              <w:t>1.5</w:t>
            </w:r>
          </w:p>
        </w:tc>
        <w:tc>
          <w:tcPr>
            <w:tcW w:type="dxa" w:w="850"/>
          </w:tcPr>
          <w:p>
            <w:pPr>
              <w:spacing w:after="20" w:before="20"/>
            </w:pPr>
            <w:r/>
            <w:r>
              <w:rPr>
                <w:b w:val="0"/>
                <w:sz w:val="14"/>
              </w:rPr>
              <w:t>0.5</w:t>
            </w:r>
          </w:p>
        </w:tc>
        <w:tc>
          <w:tcPr>
            <w:tcW w:type="dxa" w:w="850"/>
          </w:tcPr>
          <w:p>
            <w:pPr>
              <w:spacing w:after="20" w:before="20"/>
            </w:pPr>
            <w:r/>
            <w:r>
              <w:rPr>
                <w:b w:val="0"/>
                <w:sz w:val="14"/>
              </w:rPr>
              <w:t>5.0</w:t>
            </w:r>
          </w:p>
        </w:tc>
      </w:tr>
      <w:tr>
        <w:trPr>
          <w:cantSplit/>
        </w:trPr>
        <w:tc>
          <w:tcPr>
            <w:tcW w:type="dxa" w:w="3061"/>
            <w:shd w:val="clear" w:fill="EAF4EF"/>
          </w:tcPr>
          <w:p>
            <w:pPr>
              <w:spacing w:after="20" w:before="20"/>
            </w:pPr>
            <w:r/>
            <w:r>
              <w:rPr>
                <w:b w:val="0"/>
                <w:sz w:val="14"/>
              </w:rPr>
              <w:t>Statistician (0.5)</w:t>
            </w:r>
          </w:p>
        </w:tc>
        <w:tc>
          <w:tcPr>
            <w:tcW w:type="dxa" w:w="850"/>
            <w:shd w:val="clear" w:fill="EAF4EF"/>
          </w:tcPr>
          <w:p>
            <w:pPr>
              <w:spacing w:after="20" w:before="20"/>
            </w:pPr>
            <w:r/>
            <w:r>
              <w:rPr>
                <w:b w:val="0"/>
                <w:sz w:val="14"/>
              </w:rPr>
              <w:t>0.4</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1.9</w:t>
            </w:r>
          </w:p>
        </w:tc>
      </w:tr>
      <w:tr>
        <w:trPr>
          <w:cantSplit/>
        </w:trPr>
        <w:tc>
          <w:tcPr>
            <w:tcW w:type="dxa" w:w="3061"/>
          </w:tcPr>
          <w:p>
            <w:pPr>
              <w:spacing w:after="20" w:before="20"/>
            </w:pPr>
            <w:r/>
            <w:r>
              <w:rPr>
                <w:b w:val="0"/>
                <w:sz w:val="14"/>
              </w:rPr>
              <w:t>Ops/legal/governance (1.0)</w:t>
            </w:r>
          </w:p>
        </w:tc>
        <w:tc>
          <w:tcPr>
            <w:tcW w:type="dxa" w:w="850"/>
          </w:tcPr>
          <w:p>
            <w:pPr>
              <w:spacing w:after="20" w:before="20"/>
            </w:pPr>
            <w:r/>
            <w:r>
              <w:rPr>
                <w:b w:val="0"/>
                <w:sz w:val="14"/>
              </w:rPr>
              <w:t>0.7</w:t>
            </w:r>
          </w:p>
        </w:tc>
        <w:tc>
          <w:tcPr>
            <w:tcW w:type="dxa" w:w="850"/>
          </w:tcPr>
          <w:p>
            <w:pPr>
              <w:spacing w:after="20" w:before="20"/>
            </w:pPr>
            <w:r/>
            <w:r>
              <w:rPr>
                <w:b w:val="0"/>
                <w:sz w:val="14"/>
              </w:rPr>
              <w:t>1.0</w:t>
            </w:r>
          </w:p>
        </w:tc>
        <w:tc>
          <w:tcPr>
            <w:tcW w:type="dxa" w:w="850"/>
          </w:tcPr>
          <w:p>
            <w:pPr>
              <w:spacing w:after="20" w:before="20"/>
            </w:pPr>
            <w:r/>
            <w:r>
              <w:rPr>
                <w:b w:val="0"/>
                <w:sz w:val="14"/>
              </w:rPr>
              <w:t>1.0</w:t>
            </w:r>
          </w:p>
        </w:tc>
        <w:tc>
          <w:tcPr>
            <w:tcW w:type="dxa" w:w="850"/>
          </w:tcPr>
          <w:p>
            <w:pPr>
              <w:spacing w:after="20" w:before="20"/>
            </w:pPr>
            <w:r/>
            <w:r>
              <w:rPr>
                <w:b w:val="0"/>
                <w:sz w:val="14"/>
              </w:rPr>
              <w:t>1.0</w:t>
            </w:r>
          </w:p>
        </w:tc>
        <w:tc>
          <w:tcPr>
            <w:tcW w:type="dxa" w:w="850"/>
          </w:tcPr>
          <w:p>
            <w:pPr>
              <w:spacing w:after="20" w:before="20"/>
            </w:pPr>
            <w:r/>
            <w:r>
              <w:rPr>
                <w:b w:val="0"/>
                <w:sz w:val="14"/>
              </w:rPr>
              <w:t>3.7</w:t>
            </w:r>
          </w:p>
        </w:tc>
      </w:tr>
      <w:tr>
        <w:trPr>
          <w:cantSplit/>
        </w:trPr>
        <w:tc>
          <w:tcPr>
            <w:tcW w:type="dxa" w:w="3061"/>
            <w:shd w:val="clear" w:fill="EAF4EF"/>
          </w:tcPr>
          <w:p>
            <w:pPr>
              <w:spacing w:after="20" w:before="20"/>
            </w:pPr>
            <w:r/>
            <w:r>
              <w:rPr>
                <w:b w:val="0"/>
                <w:sz w:val="14"/>
              </w:rPr>
              <w:t>Data steward (0.5)</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2.0</w:t>
            </w:r>
          </w:p>
        </w:tc>
      </w:tr>
      <w:tr>
        <w:trPr>
          <w:cantSplit/>
        </w:trPr>
        <w:tc>
          <w:tcPr>
            <w:tcW w:type="dxa" w:w="3061"/>
          </w:tcPr>
          <w:p>
            <w:pPr>
              <w:spacing w:after="20" w:before="20"/>
            </w:pPr>
            <w:r/>
            <w:r>
              <w:rPr>
                <w:b/>
                <w:sz w:val="14"/>
              </w:rPr>
              <w:t>Total FTE by year</w:t>
            </w:r>
          </w:p>
        </w:tc>
        <w:tc>
          <w:tcPr>
            <w:tcW w:type="dxa" w:w="850"/>
          </w:tcPr>
          <w:p>
            <w:pPr>
              <w:spacing w:after="20" w:before="20"/>
            </w:pPr>
            <w:r/>
            <w:r>
              <w:rPr>
                <w:b/>
                <w:sz w:val="14"/>
              </w:rPr>
              <w:t>5.9</w:t>
            </w:r>
          </w:p>
        </w:tc>
        <w:tc>
          <w:tcPr>
            <w:tcW w:type="dxa" w:w="850"/>
          </w:tcPr>
          <w:p>
            <w:pPr>
              <w:spacing w:after="20" w:before="20"/>
            </w:pPr>
            <w:r/>
            <w:r>
              <w:rPr>
                <w:b/>
                <w:sz w:val="14"/>
              </w:rPr>
              <w:t>7.5</w:t>
            </w:r>
          </w:p>
        </w:tc>
        <w:tc>
          <w:tcPr>
            <w:tcW w:type="dxa" w:w="850"/>
          </w:tcPr>
          <w:p>
            <w:pPr>
              <w:spacing w:after="20" w:before="20"/>
            </w:pPr>
            <w:r/>
            <w:r>
              <w:rPr>
                <w:b/>
                <w:sz w:val="14"/>
              </w:rPr>
              <w:t>8.5</w:t>
            </w:r>
          </w:p>
        </w:tc>
        <w:tc>
          <w:tcPr>
            <w:tcW w:type="dxa" w:w="850"/>
          </w:tcPr>
          <w:p>
            <w:pPr>
              <w:spacing w:after="20" w:before="20"/>
            </w:pPr>
            <w:r/>
            <w:r>
              <w:rPr>
                <w:b/>
                <w:sz w:val="14"/>
              </w:rPr>
              <w:t>6.5</w:t>
            </w:r>
          </w:p>
        </w:tc>
        <w:tc>
          <w:tcPr>
            <w:tcW w:type="dxa" w:w="850"/>
          </w:tcPr>
          <w:p>
            <w:pPr>
              <w:spacing w:after="20" w:before="20"/>
            </w:pPr>
            <w:r/>
            <w:r>
              <w:rPr>
                <w:b/>
                <w:sz w:val="14"/>
              </w:rPr>
              <w:t>28.4 FTE-years</w:t>
            </w:r>
          </w:p>
        </w:tc>
      </w:tr>
    </w:tbl>
    <w:p>
      <w:pPr>
        <w:spacing w:after="100"/>
      </w:pPr>
      <w:r>
        <w:rPr>
          <w:b w:val="0"/>
          <w:i/>
          <w:sz w:val="16"/>
        </w:rPr>
        <w:t>6 roles are carried at half-time or more in year 1 and 8 at the peak in years 2–3. That is a count of roles under a stated rule, not a headcount: the postdoctoral line at 2.0 FTE may be two people or one person for twice as long, and the engineering line at 1.5 FTE is not one person either. The rule is given because v1.0 printed ‘seven persons in year 1’ with no rule behind it and no way to derive it from the table above. The Lean scenario compresses to one postdoctoral researcher, one doctoral researcher and fractional support; the Full scenario expands to 15.0 FTE at peak with a dedicated containment engineer and two additional doctoral researchers. Both tables are in Annex B, with their column and row totals computed rather than typed.</w:t>
      </w:r>
    </w:p>
    <w:p>
      <w:pPr>
        <w:pStyle w:val="Heading2"/>
      </w:pPr>
      <w:r>
        <w:t>5.4 Reconciliation: what each cost line implies per FTE-year</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cantSplit/>
        </w:trPr>
        <w:tc>
          <w:tcPr>
            <w:tcW w:type="dxa" w:w="2608"/>
            <w:shd w:val="clear" w:fill="0F2622"/>
          </w:tcPr>
          <w:p>
            <w:pPr>
              <w:spacing w:after="20" w:before="20"/>
            </w:pPr>
            <w:r/>
            <w:r>
              <w:rPr>
                <w:b/>
                <w:color w:val="FFFFFF"/>
                <w:sz w:val="14"/>
              </w:rPr>
              <w:t>Role</w:t>
            </w:r>
          </w:p>
        </w:tc>
        <w:tc>
          <w:tcPr>
            <w:tcW w:type="dxa" w:w="1020"/>
            <w:shd w:val="clear" w:fill="0F2622"/>
          </w:tcPr>
          <w:p>
            <w:pPr>
              <w:spacing w:after="20" w:before="20"/>
            </w:pPr>
            <w:r/>
            <w:r>
              <w:rPr>
                <w:b/>
                <w:color w:val="FFFFFF"/>
                <w:sz w:val="14"/>
              </w:rPr>
              <w:t>Core FTE-yrs</w:t>
            </w:r>
          </w:p>
        </w:tc>
        <w:tc>
          <w:tcPr>
            <w:tcW w:type="dxa" w:w="1304"/>
            <w:shd w:val="clear" w:fill="0F2622"/>
          </w:tcPr>
          <w:p>
            <w:pPr>
              <w:spacing w:after="20" w:before="20"/>
            </w:pPr>
            <w:r/>
            <w:r>
              <w:rPr>
                <w:b/>
                <w:color w:val="FFFFFF"/>
                <w:sz w:val="14"/>
              </w:rPr>
              <w:t>Core cost line</w:t>
            </w:r>
          </w:p>
        </w:tc>
        <w:tc>
          <w:tcPr>
            <w:tcW w:type="dxa" w:w="1361"/>
            <w:shd w:val="clear" w:fill="0F2622"/>
          </w:tcPr>
          <w:p>
            <w:pPr>
              <w:spacing w:after="20" w:before="20"/>
            </w:pPr>
            <w:r/>
            <w:r>
              <w:rPr>
                <w:b/>
                <w:color w:val="FFFFFF"/>
                <w:sz w:val="14"/>
              </w:rPr>
              <w:t>Implied € / FTE-yr</w:t>
            </w:r>
          </w:p>
        </w:tc>
        <w:tc>
          <w:tcPr>
            <w:tcW w:type="dxa" w:w="2381"/>
            <w:shd w:val="clear" w:fill="0F2622"/>
          </w:tcPr>
          <w:p>
            <w:pPr>
              <w:spacing w:after="20" w:before="20"/>
            </w:pPr>
            <w:r/>
            <w:r>
              <w:rPr>
                <w:b/>
                <w:color w:val="FFFFFF"/>
                <w:sz w:val="14"/>
              </w:rPr>
              <w:t>Rate band from 5.1</w:t>
            </w:r>
          </w:p>
        </w:tc>
        <w:tc>
          <w:tcPr>
            <w:tcW w:type="dxa" w:w="1077"/>
            <w:shd w:val="clear" w:fill="0F2622"/>
          </w:tcPr>
          <w:p>
            <w:pPr>
              <w:spacing w:after="20" w:before="20"/>
            </w:pPr>
            <w:r/>
            <w:r>
              <w:rPr>
                <w:b/>
                <w:color w:val="FFFFFF"/>
                <w:sz w:val="14"/>
              </w:rPr>
              <w:t>Verdict</w:t>
            </w:r>
          </w:p>
        </w:tc>
      </w:tr>
      <w:tr>
        <w:trPr>
          <w:cantSplit/>
        </w:trPr>
        <w:tc>
          <w:tcPr>
            <w:tcW w:type="dxa" w:w="2608"/>
          </w:tcPr>
          <w:p>
            <w:pPr>
              <w:spacing w:after="20" w:before="20"/>
            </w:pPr>
            <w:r/>
            <w:r>
              <w:rPr>
                <w:b w:val="0"/>
                <w:sz w:val="14"/>
              </w:rPr>
              <w:t>Principal investigator</w:t>
            </w:r>
          </w:p>
        </w:tc>
        <w:tc>
          <w:tcPr>
            <w:tcW w:type="dxa" w:w="1020"/>
          </w:tcPr>
          <w:p>
            <w:pPr>
              <w:spacing w:after="20" w:before="20"/>
            </w:pPr>
            <w:r/>
            <w:r>
              <w:rPr>
                <w:b w:val="0"/>
                <w:sz w:val="14"/>
              </w:rPr>
              <w:t>2.0</w:t>
            </w:r>
          </w:p>
        </w:tc>
        <w:tc>
          <w:tcPr>
            <w:tcW w:type="dxa" w:w="1304"/>
          </w:tcPr>
          <w:p>
            <w:pPr>
              <w:spacing w:after="20" w:before="20"/>
            </w:pPr>
            <w:r/>
            <w:r>
              <w:rPr>
                <w:b w:val="0"/>
                <w:sz w:val="14"/>
              </w:rPr>
              <w:t>€340,000</w:t>
            </w:r>
          </w:p>
        </w:tc>
        <w:tc>
          <w:tcPr>
            <w:tcW w:type="dxa" w:w="1361"/>
          </w:tcPr>
          <w:p>
            <w:pPr>
              <w:spacing w:after="20" w:before="20"/>
            </w:pPr>
            <w:r/>
            <w:r>
              <w:rPr>
                <w:b w:val="0"/>
                <w:sz w:val="14"/>
              </w:rPr>
              <w:t>€170,000</w:t>
            </w:r>
          </w:p>
        </w:tc>
        <w:tc>
          <w:tcPr>
            <w:tcW w:type="dxa" w:w="2381"/>
          </w:tcPr>
          <w:p>
            <w:pPr>
              <w:spacing w:after="20" w:before="20"/>
            </w:pPr>
            <w:r/>
            <w:r>
              <w:rPr>
                <w:b w:val="0"/>
                <w:sz w:val="14"/>
              </w:rPr>
              <w:t>€136,000–168,000 (€85–105 / h × 1,600 h)</w:t>
            </w:r>
          </w:p>
        </w:tc>
        <w:tc>
          <w:tcPr>
            <w:tcW w:type="dxa" w:w="1077"/>
          </w:tcPr>
          <w:p>
            <w:pPr>
              <w:spacing w:after="20" w:before="20"/>
            </w:pPr>
            <w:r/>
            <w:r>
              <w:rPr>
                <w:b w:val="0"/>
                <w:sz w:val="14"/>
              </w:rPr>
              <w:t>Over band</w:t>
            </w:r>
          </w:p>
        </w:tc>
      </w:tr>
      <w:tr>
        <w:trPr>
          <w:cantSplit/>
        </w:trPr>
        <w:tc>
          <w:tcPr>
            <w:tcW w:type="dxa" w:w="2608"/>
            <w:shd w:val="clear" w:fill="EAF4EF"/>
          </w:tcPr>
          <w:p>
            <w:pPr>
              <w:spacing w:after="20" w:before="20"/>
            </w:pPr>
            <w:r/>
            <w:r>
              <w:rPr>
                <w:b w:val="0"/>
                <w:sz w:val="14"/>
              </w:rPr>
              <w:t>Postdoctoral researchers</w:t>
            </w:r>
          </w:p>
        </w:tc>
        <w:tc>
          <w:tcPr>
            <w:tcW w:type="dxa" w:w="1020"/>
            <w:shd w:val="clear" w:fill="EAF4EF"/>
          </w:tcPr>
          <w:p>
            <w:pPr>
              <w:spacing w:after="20" w:before="20"/>
            </w:pPr>
            <w:r/>
            <w:r>
              <w:rPr>
                <w:b w:val="0"/>
                <w:sz w:val="14"/>
              </w:rPr>
              <w:t>6.0</w:t>
            </w:r>
          </w:p>
        </w:tc>
        <w:tc>
          <w:tcPr>
            <w:tcW w:type="dxa" w:w="1304"/>
            <w:shd w:val="clear" w:fill="EAF4EF"/>
          </w:tcPr>
          <w:p>
            <w:pPr>
              <w:spacing w:after="20" w:before="20"/>
            </w:pPr>
            <w:r/>
            <w:r>
              <w:rPr>
                <w:b w:val="0"/>
                <w:sz w:val="14"/>
              </w:rPr>
              <w:t>€560,000</w:t>
            </w:r>
          </w:p>
        </w:tc>
        <w:tc>
          <w:tcPr>
            <w:tcW w:type="dxa" w:w="1361"/>
            <w:shd w:val="clear" w:fill="EAF4EF"/>
          </w:tcPr>
          <w:p>
            <w:pPr>
              <w:spacing w:after="20" w:before="20"/>
            </w:pPr>
            <w:r/>
            <w:r>
              <w:rPr>
                <w:b w:val="0"/>
                <w:sz w:val="14"/>
              </w:rPr>
              <w:t>€93,333</w:t>
            </w:r>
          </w:p>
        </w:tc>
        <w:tc>
          <w:tcPr>
            <w:tcW w:type="dxa" w:w="2381"/>
            <w:shd w:val="clear" w:fill="EAF4EF"/>
          </w:tcPr>
          <w:p>
            <w:pPr>
              <w:spacing w:after="20" w:before="20"/>
            </w:pPr>
            <w:r/>
            <w:r>
              <w:rPr>
                <w:b w:val="0"/>
                <w:sz w:val="14"/>
              </w:rPr>
              <w:t>€55,000–75,000 (€55–75k / yr loaded)</w:t>
            </w:r>
          </w:p>
        </w:tc>
        <w:tc>
          <w:tcPr>
            <w:tcW w:type="dxa" w:w="1077"/>
            <w:shd w:val="clear" w:fill="EAF4EF"/>
          </w:tcPr>
          <w:p>
            <w:pPr>
              <w:spacing w:after="20" w:before="20"/>
            </w:pPr>
            <w:r/>
            <w:r>
              <w:rPr>
                <w:b w:val="0"/>
                <w:sz w:val="14"/>
              </w:rPr>
              <w:t>Over band</w:t>
            </w:r>
          </w:p>
        </w:tc>
      </w:tr>
      <w:tr>
        <w:trPr>
          <w:cantSplit/>
        </w:trPr>
        <w:tc>
          <w:tcPr>
            <w:tcW w:type="dxa" w:w="2608"/>
          </w:tcPr>
          <w:p>
            <w:pPr>
              <w:spacing w:after="20" w:before="20"/>
            </w:pPr>
            <w:r/>
            <w:r>
              <w:rPr>
                <w:b w:val="0"/>
                <w:sz w:val="14"/>
              </w:rPr>
              <w:t>Doctoral researchers</w:t>
            </w:r>
          </w:p>
        </w:tc>
        <w:tc>
          <w:tcPr>
            <w:tcW w:type="dxa" w:w="1020"/>
          </w:tcPr>
          <w:p>
            <w:pPr>
              <w:spacing w:after="20" w:before="20"/>
            </w:pPr>
            <w:r/>
            <w:r>
              <w:rPr>
                <w:b w:val="0"/>
                <w:sz w:val="14"/>
              </w:rPr>
              <w:t>6.0</w:t>
            </w:r>
          </w:p>
        </w:tc>
        <w:tc>
          <w:tcPr>
            <w:tcW w:type="dxa" w:w="1304"/>
          </w:tcPr>
          <w:p>
            <w:pPr>
              <w:spacing w:after="20" w:before="20"/>
            </w:pPr>
            <w:r/>
            <w:r>
              <w:rPr>
                <w:b w:val="0"/>
                <w:sz w:val="14"/>
              </w:rPr>
              <w:t>€320,000</w:t>
            </w:r>
          </w:p>
        </w:tc>
        <w:tc>
          <w:tcPr>
            <w:tcW w:type="dxa" w:w="1361"/>
          </w:tcPr>
          <w:p>
            <w:pPr>
              <w:spacing w:after="20" w:before="20"/>
            </w:pPr>
            <w:r/>
            <w:r>
              <w:rPr>
                <w:b w:val="0"/>
                <w:sz w:val="14"/>
              </w:rPr>
              <w:t>€53,333</w:t>
            </w:r>
          </w:p>
        </w:tc>
        <w:tc>
          <w:tcPr>
            <w:tcW w:type="dxa" w:w="2381"/>
          </w:tcPr>
          <w:p>
            <w:pPr>
              <w:spacing w:after="20" w:before="20"/>
            </w:pPr>
            <w:r/>
            <w:r>
              <w:rPr>
                <w:b w:val="0"/>
                <w:sz w:val="14"/>
              </w:rPr>
              <w:t>€45,000–55,000 (€45–55k / yr loaded)</w:t>
            </w:r>
          </w:p>
        </w:tc>
        <w:tc>
          <w:tcPr>
            <w:tcW w:type="dxa" w:w="1077"/>
          </w:tcPr>
          <w:p>
            <w:pPr>
              <w:spacing w:after="20" w:before="20"/>
            </w:pPr>
            <w:r/>
            <w:r>
              <w:rPr>
                <w:b w:val="0"/>
                <w:sz w:val="14"/>
              </w:rPr>
              <w:t>Reconciles</w:t>
            </w:r>
          </w:p>
        </w:tc>
      </w:tr>
      <w:tr>
        <w:trPr>
          <w:cantSplit/>
        </w:trPr>
        <w:tc>
          <w:tcPr>
            <w:tcW w:type="dxa" w:w="2608"/>
            <w:shd w:val="clear" w:fill="EAF4EF"/>
          </w:tcPr>
          <w:p>
            <w:pPr>
              <w:spacing w:after="20" w:before="20"/>
            </w:pPr>
            <w:r/>
            <w:r>
              <w:rPr>
                <w:b w:val="0"/>
                <w:sz w:val="14"/>
              </w:rPr>
              <w:t>Research engineers &amp; data steward</w:t>
            </w:r>
          </w:p>
        </w:tc>
        <w:tc>
          <w:tcPr>
            <w:tcW w:type="dxa" w:w="1020"/>
            <w:shd w:val="clear" w:fill="EAF4EF"/>
          </w:tcPr>
          <w:p>
            <w:pPr>
              <w:spacing w:after="20" w:before="20"/>
            </w:pPr>
            <w:r/>
            <w:r>
              <w:rPr>
                <w:b w:val="0"/>
                <w:sz w:val="14"/>
              </w:rPr>
              <w:t>7.0</w:t>
            </w:r>
          </w:p>
        </w:tc>
        <w:tc>
          <w:tcPr>
            <w:tcW w:type="dxa" w:w="1304"/>
            <w:shd w:val="clear" w:fill="EAF4EF"/>
          </w:tcPr>
          <w:p>
            <w:pPr>
              <w:spacing w:after="20" w:before="20"/>
            </w:pPr>
            <w:r/>
            <w:r>
              <w:rPr>
                <w:b w:val="0"/>
                <w:sz w:val="14"/>
              </w:rPr>
              <w:t>€480,000</w:t>
            </w:r>
          </w:p>
        </w:tc>
        <w:tc>
          <w:tcPr>
            <w:tcW w:type="dxa" w:w="1361"/>
            <w:shd w:val="clear" w:fill="EAF4EF"/>
          </w:tcPr>
          <w:p>
            <w:pPr>
              <w:spacing w:after="20" w:before="20"/>
            </w:pPr>
            <w:r/>
            <w:r>
              <w:rPr>
                <w:b w:val="0"/>
                <w:sz w:val="14"/>
              </w:rPr>
              <w:t>€68,571</w:t>
            </w:r>
          </w:p>
        </w:tc>
        <w:tc>
          <w:tcPr>
            <w:tcW w:type="dxa" w:w="2381"/>
            <w:shd w:val="clear" w:fill="EAF4EF"/>
          </w:tcPr>
          <w:p>
            <w:pPr>
              <w:spacing w:after="20" w:before="20"/>
            </w:pPr>
            <w:r/>
            <w:r>
              <w:rPr>
                <w:b w:val="0"/>
                <w:sz w:val="14"/>
              </w:rPr>
              <w:t>€112,000–176,000 (€70–110 / h × 1,600 h)</w:t>
            </w:r>
          </w:p>
        </w:tc>
        <w:tc>
          <w:tcPr>
            <w:tcW w:type="dxa" w:w="1077"/>
            <w:shd w:val="clear" w:fill="EAF4EF"/>
          </w:tcPr>
          <w:p>
            <w:pPr>
              <w:spacing w:after="20" w:before="20"/>
            </w:pPr>
            <w:r/>
            <w:r>
              <w:rPr>
                <w:b w:val="0"/>
                <w:sz w:val="14"/>
              </w:rPr>
              <w:t>Under band</w:t>
            </w:r>
          </w:p>
        </w:tc>
      </w:tr>
      <w:tr>
        <w:trPr>
          <w:cantSplit/>
        </w:trPr>
        <w:tc>
          <w:tcPr>
            <w:tcW w:type="dxa" w:w="2608"/>
          </w:tcPr>
          <w:p>
            <w:pPr>
              <w:spacing w:after="20" w:before="20"/>
            </w:pPr>
            <w:r/>
            <w:r>
              <w:rPr>
                <w:b w:val="0"/>
                <w:sz w:val="14"/>
              </w:rPr>
              <w:t>Statistician &amp; psychometrician</w:t>
            </w:r>
          </w:p>
        </w:tc>
        <w:tc>
          <w:tcPr>
            <w:tcW w:type="dxa" w:w="1020"/>
          </w:tcPr>
          <w:p>
            <w:pPr>
              <w:spacing w:after="20" w:before="20"/>
            </w:pPr>
            <w:r/>
            <w:r>
              <w:rPr>
                <w:b w:val="0"/>
                <w:sz w:val="14"/>
              </w:rPr>
              <w:t>3.7</w:t>
            </w:r>
          </w:p>
        </w:tc>
        <w:tc>
          <w:tcPr>
            <w:tcW w:type="dxa" w:w="1304"/>
          </w:tcPr>
          <w:p>
            <w:pPr>
              <w:spacing w:after="20" w:before="20"/>
            </w:pPr>
            <w:r/>
            <w:r>
              <w:rPr>
                <w:b w:val="0"/>
                <w:sz w:val="14"/>
              </w:rPr>
              <w:t>€180,000</w:t>
            </w:r>
          </w:p>
        </w:tc>
        <w:tc>
          <w:tcPr>
            <w:tcW w:type="dxa" w:w="1361"/>
          </w:tcPr>
          <w:p>
            <w:pPr>
              <w:spacing w:after="20" w:before="20"/>
            </w:pPr>
            <w:r/>
            <w:r>
              <w:rPr>
                <w:b w:val="0"/>
                <w:sz w:val="14"/>
              </w:rPr>
              <w:t>€48,649</w:t>
            </w:r>
          </w:p>
        </w:tc>
        <w:tc>
          <w:tcPr>
            <w:tcW w:type="dxa" w:w="2381"/>
          </w:tcPr>
          <w:p>
            <w:pPr>
              <w:spacing w:after="20" w:before="20"/>
            </w:pPr>
            <w:r/>
            <w:r>
              <w:rPr>
                <w:b w:val="0"/>
                <w:sz w:val="14"/>
              </w:rPr>
              <w:t>€112,000–160,000 (€70–100 / h × 1,600 h)</w:t>
            </w:r>
          </w:p>
        </w:tc>
        <w:tc>
          <w:tcPr>
            <w:tcW w:type="dxa" w:w="1077"/>
          </w:tcPr>
          <w:p>
            <w:pPr>
              <w:spacing w:after="20" w:before="20"/>
            </w:pPr>
            <w:r/>
            <w:r>
              <w:rPr>
                <w:b w:val="0"/>
                <w:sz w:val="14"/>
              </w:rPr>
              <w:t>Under band</w:t>
            </w:r>
          </w:p>
        </w:tc>
      </w:tr>
      <w:tr>
        <w:trPr>
          <w:cantSplit/>
        </w:trPr>
        <w:tc>
          <w:tcPr>
            <w:tcW w:type="dxa" w:w="2608"/>
            <w:shd w:val="clear" w:fill="EAF4EF"/>
          </w:tcPr>
          <w:p>
            <w:pPr>
              <w:spacing w:after="20" w:before="20"/>
            </w:pPr>
            <w:r/>
            <w:r>
              <w:rPr>
                <w:b w:val="0"/>
                <w:sz w:val="14"/>
              </w:rPr>
              <w:t>Operations, legal, governance &amp; ethics</w:t>
            </w:r>
          </w:p>
        </w:tc>
        <w:tc>
          <w:tcPr>
            <w:tcW w:type="dxa" w:w="1020"/>
            <w:shd w:val="clear" w:fill="EAF4EF"/>
          </w:tcPr>
          <w:p>
            <w:pPr>
              <w:spacing w:after="20" w:before="20"/>
            </w:pPr>
            <w:r/>
            <w:r>
              <w:rPr>
                <w:b w:val="0"/>
                <w:sz w:val="14"/>
              </w:rPr>
              <w:t>3.7</w:t>
            </w:r>
          </w:p>
        </w:tc>
        <w:tc>
          <w:tcPr>
            <w:tcW w:type="dxa" w:w="1304"/>
            <w:shd w:val="clear" w:fill="EAF4EF"/>
          </w:tcPr>
          <w:p>
            <w:pPr>
              <w:spacing w:after="20" w:before="20"/>
            </w:pPr>
            <w:r/>
            <w:r>
              <w:rPr>
                <w:b w:val="0"/>
                <w:sz w:val="14"/>
              </w:rPr>
              <w:t>€300,000</w:t>
            </w:r>
          </w:p>
        </w:tc>
        <w:tc>
          <w:tcPr>
            <w:tcW w:type="dxa" w:w="1361"/>
            <w:shd w:val="clear" w:fill="EAF4EF"/>
          </w:tcPr>
          <w:p>
            <w:pPr>
              <w:spacing w:after="20" w:before="20"/>
            </w:pPr>
            <w:r/>
            <w:r>
              <w:rPr>
                <w:b w:val="0"/>
                <w:sz w:val="14"/>
              </w:rPr>
              <w:t>€81,081</w:t>
            </w:r>
          </w:p>
        </w:tc>
        <w:tc>
          <w:tcPr>
            <w:tcW w:type="dxa" w:w="2381"/>
            <w:shd w:val="clear" w:fill="EAF4EF"/>
          </w:tcPr>
          <w:p>
            <w:pPr>
              <w:spacing w:after="20" w:before="20"/>
            </w:pPr>
            <w:r/>
            <w:r>
              <w:rPr>
                <w:b w:val="0"/>
                <w:sz w:val="14"/>
              </w:rPr>
              <w:t>€88,000–136,000 (€55–85 / h × 1,600 h)</w:t>
            </w:r>
          </w:p>
        </w:tc>
        <w:tc>
          <w:tcPr>
            <w:tcW w:type="dxa" w:w="1077"/>
            <w:shd w:val="clear" w:fill="EAF4EF"/>
          </w:tcPr>
          <w:p>
            <w:pPr>
              <w:spacing w:after="20" w:before="20"/>
            </w:pPr>
            <w:r/>
            <w:r>
              <w:rPr>
                <w:b w:val="0"/>
                <w:sz w:val="14"/>
              </w:rPr>
              <w:t>Under band</w:t>
            </w:r>
          </w:p>
        </w:tc>
      </w:tr>
      <w:tr>
        <w:trPr>
          <w:cantSplit/>
        </w:trPr>
        <w:tc>
          <w:tcPr>
            <w:tcW w:type="dxa" w:w="2608"/>
          </w:tcPr>
          <w:p>
            <w:pPr>
              <w:spacing w:after="20" w:before="20"/>
            </w:pPr>
            <w:r/>
            <w:r>
              <w:rPr>
                <w:b/>
                <w:sz w:val="14"/>
              </w:rPr>
              <w:t>Net across the six personnel lines</w:t>
            </w:r>
          </w:p>
        </w:tc>
        <w:tc>
          <w:tcPr>
            <w:tcW w:type="dxa" w:w="1020"/>
          </w:tcPr>
          <w:p>
            <w:pPr>
              <w:spacing w:after="20" w:before="20"/>
            </w:pPr>
            <w:r/>
            <w:r>
              <w:rPr>
                <w:b w:val="0"/>
                <w:sz w:val="14"/>
              </w:rPr>
            </w:r>
          </w:p>
        </w:tc>
        <w:tc>
          <w:tcPr>
            <w:tcW w:type="dxa" w:w="1304"/>
          </w:tcPr>
          <w:p>
            <w:pPr>
              <w:spacing w:after="20" w:before="20"/>
            </w:pPr>
            <w:r/>
            <w:r>
              <w:rPr>
                <w:b w:val="0"/>
                <w:sz w:val="14"/>
              </w:rPr>
            </w:r>
          </w:p>
        </w:tc>
        <w:tc>
          <w:tcPr>
            <w:tcW w:type="dxa" w:w="1361"/>
          </w:tcPr>
          <w:p>
            <w:pPr>
              <w:spacing w:after="20" w:before="20"/>
            </w:pPr>
            <w:r/>
            <w:r>
              <w:rPr>
                <w:b w:val="0"/>
                <w:sz w:val="14"/>
              </w:rPr>
            </w:r>
          </w:p>
        </w:tc>
        <w:tc>
          <w:tcPr>
            <w:tcW w:type="dxa" w:w="2381"/>
          </w:tcPr>
          <w:p>
            <w:pPr>
              <w:spacing w:after="20" w:before="20"/>
            </w:pPr>
            <w:r/>
            <w:r>
              <w:rPr>
                <w:b w:val="0"/>
                <w:sz w:val="14"/>
              </w:rPr>
            </w:r>
          </w:p>
        </w:tc>
        <w:tc>
          <w:tcPr>
            <w:tcW w:type="dxa" w:w="1077"/>
          </w:tcPr>
          <w:p>
            <w:pPr>
              <w:spacing w:after="20" w:before="20"/>
            </w:pPr>
            <w:r/>
            <w:r>
              <w:rPr>
                <w:b/>
                <w:sz w:val="14"/>
              </w:rPr>
              <w:t>−€450,000</w:t>
            </w:r>
          </w:p>
        </w:tc>
      </w:tr>
    </w:tbl>
    <w:p>
      <w:pPr>
        <w:spacing w:after="100"/>
      </w:pPr>
      <w:r>
        <w:rPr>
          <w:b w:val="0"/>
          <w:i/>
          <w:sz w:val="16"/>
        </w:rPr>
        <w:t>Table — each Core personnel line divided by the FTE-years it funds, against the rate band 5.1 publishes for that role. The verdict column is computed from the two, not typed.</w:t>
      </w:r>
    </w:p>
    <w:p>
      <w:pPr>
        <w:spacing w:after="100"/>
      </w:pPr>
      <w:r>
        <w:rPr>
          <w:b w:val="0"/>
          <w:i w:val="0"/>
          <w:sz w:val="19"/>
        </w:rPr>
        <w:t>The sceptical reader divides the cost line by the FTE-years before anything else, so the plan does it first. Two lines sit above their band and three sit below it, and the net is a shortfall of €450,000 — about 21 per cent of the €2,180,000 Core personnel block. The shortfall is not distributed evenly: it is concentrated in the research-engineering and methodological roles, which are the two the programme is least likely to have contributed and most likely to have to buy. The postdoctoral line runs the other way and is carried above its own band.</w:t>
      </w:r>
    </w:p>
    <w:p>
      <w:pPr>
        <w:spacing w:after="100"/>
      </w:pPr>
      <w:r>
        <w:rPr>
          <w:b w:val="0"/>
          <w:i w:val="0"/>
          <w:sz w:val="19"/>
        </w:rPr>
        <w:t>This plan does not resolve the gap by moving a number it cannot defend. It records it: the cost model is the shared one used by every document in this set, and changing it changes every published total. The reconciliation is open item OI-3 in Annex E, owned by the principal investigator and the operations lead, and due at the detailed budget build — which is the first task of any funded programme and cannot be done before the rate cards exist.</w:t>
      </w:r>
    </w:p>
    <w:p>
      <w:pPr>
        <w:pStyle w:val="Heading1"/>
      </w:pPr>
      <w:r>
        <w:t>6. Cost estimation</w:t>
      </w:r>
    </w:p>
    <w:p>
      <w:pPr>
        <w:spacing w:before="0" w:after="140" w:line="40" w:lineRule="exact"/>
        <w:pBdr>
          <w:bottom w:val="single" w:sz="16" w:space="0" w:color="E8A13D"/>
        </w:pBdr>
      </w:pPr>
      <w:r>
        <w:rPr>
          <w:sz w:val="2"/>
        </w:rPr>
      </w:r>
    </w:p>
    <w:p>
      <w:pPr>
        <w:pStyle w:val="Heading2"/>
      </w:pPr>
      <w:r>
        <w:t>6.1 Scenario totals</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1134"/>
            <w:shd w:val="clear" w:fill="0F2622"/>
          </w:tcPr>
          <w:p>
            <w:pPr>
              <w:spacing w:after="20" w:before="20"/>
            </w:pPr>
            <w:r/>
            <w:r>
              <w:rPr>
                <w:b/>
                <w:color w:val="FFFFFF"/>
                <w:sz w:val="15"/>
              </w:rPr>
              <w:t>Scenario</w:t>
            </w:r>
          </w:p>
        </w:tc>
        <w:tc>
          <w:tcPr>
            <w:tcW w:type="dxa" w:w="4252"/>
            <w:shd w:val="clear" w:fill="0F2622"/>
          </w:tcPr>
          <w:p>
            <w:pPr>
              <w:spacing w:after="20" w:before="20"/>
            </w:pPr>
            <w:r/>
            <w:r>
              <w:rPr>
                <w:b/>
                <w:color w:val="FFFFFF"/>
                <w:sz w:val="15"/>
              </w:rPr>
              <w:t>Shape</w:t>
            </w:r>
          </w:p>
        </w:tc>
        <w:tc>
          <w:tcPr>
            <w:tcW w:type="dxa" w:w="1474"/>
            <w:shd w:val="clear" w:fill="0F2622"/>
          </w:tcPr>
          <w:p>
            <w:pPr>
              <w:spacing w:after="20" w:before="20"/>
            </w:pPr>
            <w:r/>
            <w:r>
              <w:rPr>
                <w:b/>
                <w:color w:val="FFFFFF"/>
                <w:sz w:val="15"/>
              </w:rPr>
              <w:t>Duration</w:t>
            </w:r>
          </w:p>
        </w:tc>
        <w:tc>
          <w:tcPr>
            <w:tcW w:type="dxa" w:w="1474"/>
            <w:shd w:val="clear" w:fill="0F2622"/>
          </w:tcPr>
          <w:p>
            <w:pPr>
              <w:spacing w:after="20" w:before="20"/>
            </w:pPr>
            <w:r/>
            <w:r>
              <w:rPr>
                <w:b/>
                <w:color w:val="FFFFFF"/>
                <w:sz w:val="15"/>
              </w:rPr>
              <w:t>Planning total</w:t>
            </w:r>
          </w:p>
        </w:tc>
        <w:tc>
          <w:tcPr>
            <w:tcW w:type="dxa" w:w="1871"/>
            <w:shd w:val="clear" w:fill="0F2622"/>
          </w:tcPr>
          <w:p>
            <w:pPr>
              <w:spacing w:after="20" w:before="20"/>
            </w:pPr>
            <w:r/>
            <w:r>
              <w:rPr>
                <w:b/>
                <w:color w:val="FFFFFF"/>
                <w:sz w:val="15"/>
              </w:rPr>
              <w:t>Role</w:t>
            </w:r>
          </w:p>
        </w:tc>
      </w:tr>
      <w:tr>
        <w:trPr>
          <w:cantSplit/>
        </w:trPr>
        <w:tc>
          <w:tcPr>
            <w:tcW w:type="dxa" w:w="1134"/>
          </w:tcPr>
          <w:p>
            <w:pPr>
              <w:spacing w:after="20" w:before="20"/>
            </w:pPr>
            <w:r/>
            <w:r>
              <w:rPr>
                <w:b w:val="0"/>
                <w:sz w:val="15"/>
              </w:rPr>
              <w:t>Lean</w:t>
            </w:r>
          </w:p>
        </w:tc>
        <w:tc>
          <w:tcPr>
            <w:tcW w:type="dxa" w:w="4252"/>
          </w:tcPr>
          <w:p>
            <w:pPr>
              <w:spacing w:after="20" w:before="20"/>
            </w:pPr>
            <w:r/>
            <w:r>
              <w:rPr>
                <w:b w:val="0"/>
                <w:sz w:val="15"/>
              </w:rPr>
              <w:t>A single site, open models first, community annotation, three years</w:t>
            </w:r>
          </w:p>
        </w:tc>
        <w:tc>
          <w:tcPr>
            <w:tcW w:type="dxa" w:w="1474"/>
          </w:tcPr>
          <w:p>
            <w:pPr>
              <w:spacing w:after="20" w:before="20"/>
            </w:pPr>
            <w:r/>
            <w:r>
              <w:rPr>
                <w:b w:val="0"/>
                <w:sz w:val="15"/>
              </w:rPr>
              <w:t>3 yrs (2027–2029)</w:t>
            </w:r>
          </w:p>
        </w:tc>
        <w:tc>
          <w:tcPr>
            <w:tcW w:type="dxa" w:w="1474"/>
          </w:tcPr>
          <w:p>
            <w:pPr>
              <w:spacing w:after="20" w:before="20"/>
            </w:pPr>
            <w:r/>
            <w:r>
              <w:rPr>
                <w:b w:val="0"/>
                <w:sz w:val="15"/>
              </w:rPr>
              <w:t>€1,079,500</w:t>
            </w:r>
          </w:p>
        </w:tc>
        <w:tc>
          <w:tcPr>
            <w:tcW w:type="dxa" w:w="1871"/>
          </w:tcPr>
          <w:p>
            <w:pPr>
              <w:spacing w:after="20" w:before="20"/>
            </w:pPr>
            <w:r/>
            <w:r>
              <w:rPr>
                <w:b w:val="0"/>
                <w:sz w:val="15"/>
              </w:rPr>
              <w:t>Minimum viable</w:t>
            </w:r>
          </w:p>
        </w:tc>
      </w:tr>
      <w:tr>
        <w:trPr>
          <w:cantSplit/>
        </w:trPr>
        <w:tc>
          <w:tcPr>
            <w:tcW w:type="dxa" w:w="1134"/>
            <w:shd w:val="clear" w:fill="EAF4EF"/>
          </w:tcPr>
          <w:p>
            <w:pPr>
              <w:spacing w:after="20" w:before="20"/>
            </w:pPr>
            <w:r/>
            <w:r>
              <w:rPr>
                <w:b w:val="0"/>
                <w:sz w:val="15"/>
              </w:rPr>
              <w:t>Core</w:t>
            </w:r>
          </w:p>
        </w:tc>
        <w:tc>
          <w:tcPr>
            <w:tcW w:type="dxa" w:w="4252"/>
            <w:shd w:val="clear" w:fill="EAF4EF"/>
          </w:tcPr>
          <w:p>
            <w:pPr>
              <w:spacing w:after="20" w:before="20"/>
            </w:pPr>
            <w:r/>
            <w:r>
              <w:rPr>
                <w:b w:val="0"/>
                <w:sz w:val="15"/>
              </w:rPr>
              <w:t>Two partner labs, full instrument science and trials, four years</w:t>
            </w:r>
          </w:p>
        </w:tc>
        <w:tc>
          <w:tcPr>
            <w:tcW w:type="dxa" w:w="1474"/>
            <w:shd w:val="clear" w:fill="EAF4EF"/>
          </w:tcPr>
          <w:p>
            <w:pPr>
              <w:spacing w:after="20" w:before="20"/>
            </w:pPr>
            <w:r/>
            <w:r>
              <w:rPr>
                <w:b w:val="0"/>
                <w:sz w:val="15"/>
              </w:rPr>
              <w:t>4 yrs (2027–2030)</w:t>
            </w:r>
          </w:p>
        </w:tc>
        <w:tc>
          <w:tcPr>
            <w:tcW w:type="dxa" w:w="1474"/>
            <w:shd w:val="clear" w:fill="EAF4EF"/>
          </w:tcPr>
          <w:p>
            <w:pPr>
              <w:spacing w:after="20" w:before="20"/>
            </w:pPr>
            <w:r/>
            <w:r>
              <w:rPr>
                <w:b w:val="0"/>
                <w:sz w:val="15"/>
              </w:rPr>
              <w:t>€3,960,000</w:t>
            </w:r>
          </w:p>
        </w:tc>
        <w:tc>
          <w:tcPr>
            <w:tcW w:type="dxa" w:w="1871"/>
            <w:shd w:val="clear" w:fill="EAF4EF"/>
          </w:tcPr>
          <w:p>
            <w:pPr>
              <w:spacing w:after="20" w:before="20"/>
            </w:pPr>
            <w:r/>
            <w:r>
              <w:rPr>
                <w:b w:val="0"/>
                <w:sz w:val="15"/>
              </w:rPr>
              <w:t>Recommended</w:t>
            </w:r>
          </w:p>
        </w:tc>
      </w:tr>
      <w:tr>
        <w:trPr>
          <w:cantSplit/>
        </w:trPr>
        <w:tc>
          <w:tcPr>
            <w:tcW w:type="dxa" w:w="1134"/>
          </w:tcPr>
          <w:p>
            <w:pPr>
              <w:spacing w:after="20" w:before="20"/>
            </w:pPr>
            <w:r/>
            <w:r>
              <w:rPr>
                <w:b w:val="0"/>
                <w:sz w:val="15"/>
              </w:rPr>
              <w:t>Full</w:t>
            </w:r>
          </w:p>
        </w:tc>
        <w:tc>
          <w:tcPr>
            <w:tcW w:type="dxa" w:w="4252"/>
          </w:tcPr>
          <w:p>
            <w:pPr>
              <w:spacing w:after="20" w:before="20"/>
            </w:pPr>
            <w:r/>
            <w:r>
              <w:rPr>
                <w:b w:val="0"/>
                <w:sz w:val="15"/>
              </w:rPr>
              <w:t>Three partner labs, dedicated containment facility, standards pilot, five years</w:t>
            </w:r>
          </w:p>
        </w:tc>
        <w:tc>
          <w:tcPr>
            <w:tcW w:type="dxa" w:w="1474"/>
          </w:tcPr>
          <w:p>
            <w:pPr>
              <w:spacing w:after="20" w:before="20"/>
            </w:pPr>
            <w:r/>
            <w:r>
              <w:rPr>
                <w:b w:val="0"/>
                <w:sz w:val="15"/>
              </w:rPr>
              <w:t>5 yrs (2027–2031)</w:t>
            </w:r>
          </w:p>
        </w:tc>
        <w:tc>
          <w:tcPr>
            <w:tcW w:type="dxa" w:w="1474"/>
          </w:tcPr>
          <w:p>
            <w:pPr>
              <w:spacing w:after="20" w:before="20"/>
            </w:pPr>
            <w:r/>
            <w:r>
              <w:rPr>
                <w:b w:val="0"/>
                <w:sz w:val="15"/>
              </w:rPr>
              <w:t>€9,360,000</w:t>
            </w:r>
          </w:p>
        </w:tc>
        <w:tc>
          <w:tcPr>
            <w:tcW w:type="dxa" w:w="1871"/>
          </w:tcPr>
          <w:p>
            <w:pPr>
              <w:spacing w:after="20" w:before="20"/>
            </w:pPr>
            <w:r/>
            <w:r>
              <w:rPr>
                <w:b w:val="0"/>
                <w:sz w:val="15"/>
              </w:rPr>
              <w:t>Full programme</w:t>
            </w:r>
          </w:p>
        </w:tc>
      </w:tr>
    </w:tbl>
    <w:tbl>
      <w:tblPr>
        <w:tblW w:type="auto" w:w="0"/>
        <w:tblLook w:firstColumn="1" w:firstRow="1" w:lastColumn="0" w:lastRow="0" w:noHBand="0" w:noVBand="1" w:val="04A0"/>
      </w:tblPr>
      <w:tblGrid>
        <w:gridCol w:w="9638"/>
      </w:tblGrid>
      <w:tr>
        <w:tc>
          <w:tcPr>
            <w:tcW w:type="dxa" w:w="9638"/>
            <w:shd w:val="clear" w:fill="F8F1E5"/>
            <w:tcBorders>
              <w:left w:val="single" w:sz="24" w:color="E8A13D"/>
            </w:tcBorders>
          </w:tcPr>
          <w:p>
            <w:r/>
            <w:r>
              <w:rPr>
                <w:b/>
                <w:color w:val="14443C"/>
                <w:sz w:val="19"/>
              </w:rPr>
              <w:t>The scope decision behind these totals</w:t>
            </w:r>
          </w:p>
          <w:p>
            <w:pPr>
              <w:spacing w:after="20"/>
            </w:pPr>
            <w:r>
              <w:rPr>
                <w:sz w:val="18"/>
              </w:rPr>
              <w:t>Cost basis (v1.1). The catalogue grew from forty entries to ninety between AI-DSM v1.2 and v1.3; the scenario totals have not grown with it, and that is a scope decision rather than an oversight. SCT-2.0 remains an axis-level instrument — ten axis constructs, a 360-item bank — so the catalogue's growth does not change the instrument's cost. The trait-level differential work in WP3 is funded for a pre-registered priority set of 46 entries: the 31 whose evidence label is not established, plus the 17 entries in the three groups new in v1.3 (H reasoning and effort, I agentic and tool-use, J relational and influence), less the two counted in both. Forty-six batteries is within the range the v1.0 lines were costed against, which carried forty, so the inference and annotation lines and every scenario total are unchanged. The remaining 44 entries are all labelled established and all sit in the seven pre-existing groups; they are covered at axis level by SCT-2.0 and adjudicated against published differential evidence, and any entry no battery reaches is reported as untested rather than as separated. Extending full batteries to all ninety would require roughly a doubling of the WP3 share of the inference and annotation lines — a planning estimate, pro rata on entry counts, not a costed line — which this plan does not carry and does not claim to.</w:t>
            </w:r>
          </w:p>
        </w:tc>
      </w:tr>
    </w:tbl>
    <w:p>
      <w:pPr>
        <w:spacing w:after="60"/>
      </w:pPr>
    </w:p>
    <w:p>
      <w:pPr>
        <w:pStyle w:val="Heading2"/>
      </w:pPr>
      <w:r>
        <w:t>6.2 The status of every number in this plan</w:t>
      </w:r>
    </w:p>
    <w:p>
      <w:pPr>
        <w:spacing w:after="100"/>
      </w:pPr>
      <w:r>
        <w:rPr>
          <w:b w:val="0"/>
          <w:i w:val="0"/>
          <w:sz w:val="19"/>
        </w:rPr>
        <w:t>Section 1.2 sets out the three statuses. This table applies them line by line to the Core scenario, names what would settle each line, and says what happens to the total if the line is wrong. The shares are computed from the cost model, so a reader can check that they sum.</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cantSplit/>
        </w:trPr>
        <w:tc>
          <w:tcPr>
            <w:tcW w:type="dxa" w:w="2381"/>
            <w:shd w:val="clear" w:fill="0F2622"/>
          </w:tcPr>
          <w:p>
            <w:pPr>
              <w:spacing w:after="20" w:before="20"/>
            </w:pPr>
            <w:r/>
            <w:r>
              <w:rPr>
                <w:b/>
                <w:color w:val="FFFFFF"/>
                <w:sz w:val="13"/>
              </w:rPr>
              <w:t>Cost line</w:t>
            </w:r>
          </w:p>
        </w:tc>
        <w:tc>
          <w:tcPr>
            <w:tcW w:type="dxa" w:w="1077"/>
            <w:shd w:val="clear" w:fill="0F2622"/>
          </w:tcPr>
          <w:p>
            <w:pPr>
              <w:spacing w:after="20" w:before="20"/>
            </w:pPr>
            <w:r/>
            <w:r>
              <w:rPr>
                <w:b/>
                <w:color w:val="FFFFFF"/>
                <w:sz w:val="13"/>
              </w:rPr>
              <w:t>Core (€)</w:t>
            </w:r>
          </w:p>
        </w:tc>
        <w:tc>
          <w:tcPr>
            <w:tcW w:type="dxa" w:w="680"/>
            <w:shd w:val="clear" w:fill="0F2622"/>
          </w:tcPr>
          <w:p>
            <w:pPr>
              <w:spacing w:after="20" w:before="20"/>
            </w:pPr>
            <w:r/>
            <w:r>
              <w:rPr>
                <w:b/>
                <w:color w:val="FFFFFF"/>
                <w:sz w:val="13"/>
              </w:rPr>
              <w:t>Share</w:t>
            </w:r>
          </w:p>
        </w:tc>
        <w:tc>
          <w:tcPr>
            <w:tcW w:type="dxa" w:w="1361"/>
            <w:shd w:val="clear" w:fill="0F2622"/>
          </w:tcPr>
          <w:p>
            <w:pPr>
              <w:spacing w:after="20" w:before="20"/>
            </w:pPr>
            <w:r/>
            <w:r>
              <w:rPr>
                <w:b/>
                <w:color w:val="FFFFFF"/>
                <w:sz w:val="13"/>
              </w:rPr>
              <w:t>Status</w:t>
            </w:r>
          </w:p>
        </w:tc>
        <w:tc>
          <w:tcPr>
            <w:tcW w:type="dxa" w:w="2098"/>
            <w:shd w:val="clear" w:fill="0F2622"/>
          </w:tcPr>
          <w:p>
            <w:pPr>
              <w:spacing w:after="20" w:before="20"/>
            </w:pPr>
            <w:r/>
            <w:r>
              <w:rPr>
                <w:b/>
                <w:color w:val="FFFFFF"/>
                <w:sz w:val="13"/>
              </w:rPr>
              <w:t>What would settle it</w:t>
            </w:r>
          </w:p>
        </w:tc>
        <w:tc>
          <w:tcPr>
            <w:tcW w:type="dxa" w:w="2154"/>
            <w:shd w:val="clear" w:fill="0F2622"/>
          </w:tcPr>
          <w:p>
            <w:pPr>
              <w:spacing w:after="20" w:before="20"/>
            </w:pPr>
            <w:r/>
            <w:r>
              <w:rPr>
                <w:b/>
                <w:color w:val="FFFFFF"/>
                <w:sz w:val="13"/>
              </w:rPr>
              <w:t>Sensitivity</w:t>
            </w:r>
          </w:p>
        </w:tc>
      </w:tr>
      <w:tr>
        <w:trPr>
          <w:cantSplit/>
        </w:trPr>
        <w:tc>
          <w:tcPr>
            <w:tcW w:type="dxa" w:w="2381"/>
          </w:tcPr>
          <w:p>
            <w:pPr>
              <w:spacing w:after="20" w:before="20"/>
            </w:pPr>
            <w:r/>
            <w:r>
              <w:rPr>
                <w:b w:val="0"/>
                <w:sz w:val="13"/>
              </w:rPr>
              <w:t>Principal investigator (0.25 / 0.5 / 1.0 FTE)</w:t>
            </w:r>
          </w:p>
        </w:tc>
        <w:tc>
          <w:tcPr>
            <w:tcW w:type="dxa" w:w="1077"/>
          </w:tcPr>
          <w:p>
            <w:pPr>
              <w:spacing w:after="20" w:before="20"/>
            </w:pPr>
            <w:r/>
            <w:r>
              <w:rPr>
                <w:b w:val="0"/>
                <w:sz w:val="13"/>
              </w:rPr>
              <w:t>€340,000</w:t>
            </w:r>
          </w:p>
        </w:tc>
        <w:tc>
          <w:tcPr>
            <w:tcW w:type="dxa" w:w="680"/>
          </w:tcPr>
          <w:p>
            <w:pPr>
              <w:spacing w:after="20" w:before="20"/>
            </w:pPr>
            <w:r/>
            <w:r>
              <w:rPr>
                <w:b w:val="0"/>
                <w:sz w:val="13"/>
              </w:rPr>
              <w:t>8.6%</w:t>
            </w:r>
          </w:p>
        </w:tc>
        <w:tc>
          <w:tcPr>
            <w:tcW w:type="dxa" w:w="1361"/>
          </w:tcPr>
          <w:p>
            <w:pPr>
              <w:spacing w:after="20" w:before="20"/>
            </w:pPr>
            <w:r/>
            <w:r>
              <w:rPr>
                <w:b w:val="0"/>
                <w:sz w:val="13"/>
              </w:rPr>
              <w:t>Modelled</w:t>
            </w:r>
          </w:p>
        </w:tc>
        <w:tc>
          <w:tcPr>
            <w:tcW w:type="dxa" w:w="2098"/>
          </w:tcPr>
          <w:p>
            <w:pPr>
              <w:spacing w:after="20" w:before="20"/>
            </w:pPr>
            <w:r/>
            <w:r>
              <w:rPr>
                <w:b w:val="0"/>
                <w:sz w:val="13"/>
              </w:rPr>
              <w:t>A host agreement naming the FTE and the rate</w:t>
            </w:r>
          </w:p>
        </w:tc>
        <w:tc>
          <w:tcPr>
            <w:tcW w:type="dxa" w:w="2154"/>
          </w:tcPr>
          <w:p>
            <w:pPr>
              <w:spacing w:after="20" w:before="20"/>
            </w:pPr>
            <w:r/>
            <w:r>
              <w:rPr>
                <w:b w:val="0"/>
                <w:sz w:val="13"/>
              </w:rPr>
              <w:t>Converts to the bought column if there is no host (6.8)</w:t>
            </w:r>
          </w:p>
        </w:tc>
      </w:tr>
      <w:tr>
        <w:trPr>
          <w:cantSplit/>
        </w:trPr>
        <w:tc>
          <w:tcPr>
            <w:tcW w:type="dxa" w:w="2381"/>
            <w:shd w:val="clear" w:fill="EAF4EF"/>
          </w:tcPr>
          <w:p>
            <w:pPr>
              <w:spacing w:after="20" w:before="20"/>
            </w:pPr>
            <w:r/>
            <w:r>
              <w:rPr>
                <w:b w:val="0"/>
                <w:sz w:val="13"/>
              </w:rPr>
              <w:t>Postdoctoral researchers (1 / 2 / 3)</w:t>
            </w:r>
          </w:p>
        </w:tc>
        <w:tc>
          <w:tcPr>
            <w:tcW w:type="dxa" w:w="1077"/>
            <w:shd w:val="clear" w:fill="EAF4EF"/>
          </w:tcPr>
          <w:p>
            <w:pPr>
              <w:spacing w:after="20" w:before="20"/>
            </w:pPr>
            <w:r/>
            <w:r>
              <w:rPr>
                <w:b w:val="0"/>
                <w:sz w:val="13"/>
              </w:rPr>
              <w:t>€560,000</w:t>
            </w:r>
          </w:p>
        </w:tc>
        <w:tc>
          <w:tcPr>
            <w:tcW w:type="dxa" w:w="680"/>
            <w:shd w:val="clear" w:fill="EAF4EF"/>
          </w:tcPr>
          <w:p>
            <w:pPr>
              <w:spacing w:after="20" w:before="20"/>
            </w:pPr>
            <w:r/>
            <w:r>
              <w:rPr>
                <w:b w:val="0"/>
                <w:sz w:val="13"/>
              </w:rPr>
              <w:t>14.1%</w:t>
            </w:r>
          </w:p>
        </w:tc>
        <w:tc>
          <w:tcPr>
            <w:tcW w:type="dxa" w:w="1361"/>
            <w:shd w:val="clear" w:fill="EAF4EF"/>
          </w:tcPr>
          <w:p>
            <w:pPr>
              <w:spacing w:after="20" w:before="20"/>
            </w:pPr>
            <w:r/>
            <w:r>
              <w:rPr>
                <w:b w:val="0"/>
                <w:sz w:val="13"/>
              </w:rPr>
              <w:t>Modelled</w:t>
            </w:r>
          </w:p>
        </w:tc>
        <w:tc>
          <w:tcPr>
            <w:tcW w:type="dxa" w:w="2098"/>
            <w:shd w:val="clear" w:fill="EAF4EF"/>
          </w:tcPr>
          <w:p>
            <w:pPr>
              <w:spacing w:after="20" w:before="20"/>
            </w:pPr>
            <w:r/>
            <w:r>
              <w:rPr>
                <w:b w:val="0"/>
                <w:sz w:val="13"/>
              </w:rPr>
              <w:t>A host agreement and an employer salary scale</w:t>
            </w:r>
          </w:p>
        </w:tc>
        <w:tc>
          <w:tcPr>
            <w:tcW w:type="dxa" w:w="2154"/>
            <w:shd w:val="clear" w:fill="EAF4EF"/>
          </w:tcPr>
          <w:p>
            <w:pPr>
              <w:spacing w:after="20" w:before="20"/>
            </w:pPr>
            <w:r/>
            <w:r>
              <w:rPr>
                <w:b w:val="0"/>
                <w:sz w:val="13"/>
              </w:rPr>
              <w:t>Largest single mover in the bought-price case</w:t>
            </w:r>
          </w:p>
        </w:tc>
      </w:tr>
      <w:tr>
        <w:trPr>
          <w:cantSplit/>
        </w:trPr>
        <w:tc>
          <w:tcPr>
            <w:tcW w:type="dxa" w:w="2381"/>
          </w:tcPr>
          <w:p>
            <w:pPr>
              <w:spacing w:after="20" w:before="20"/>
            </w:pPr>
            <w:r/>
            <w:r>
              <w:rPr>
                <w:b w:val="0"/>
                <w:sz w:val="13"/>
              </w:rPr>
              <w:t>Doctoral researchers (1 / 2 / 4)</w:t>
            </w:r>
          </w:p>
        </w:tc>
        <w:tc>
          <w:tcPr>
            <w:tcW w:type="dxa" w:w="1077"/>
          </w:tcPr>
          <w:p>
            <w:pPr>
              <w:spacing w:after="20" w:before="20"/>
            </w:pPr>
            <w:r/>
            <w:r>
              <w:rPr>
                <w:b w:val="0"/>
                <w:sz w:val="13"/>
              </w:rPr>
              <w:t>€320,000</w:t>
            </w:r>
          </w:p>
        </w:tc>
        <w:tc>
          <w:tcPr>
            <w:tcW w:type="dxa" w:w="680"/>
          </w:tcPr>
          <w:p>
            <w:pPr>
              <w:spacing w:after="20" w:before="20"/>
            </w:pPr>
            <w:r/>
            <w:r>
              <w:rPr>
                <w:b w:val="0"/>
                <w:sz w:val="13"/>
              </w:rPr>
              <w:t>8.1%</w:t>
            </w:r>
          </w:p>
        </w:tc>
        <w:tc>
          <w:tcPr>
            <w:tcW w:type="dxa" w:w="1361"/>
          </w:tcPr>
          <w:p>
            <w:pPr>
              <w:spacing w:after="20" w:before="20"/>
            </w:pPr>
            <w:r/>
            <w:r>
              <w:rPr>
                <w:b w:val="0"/>
                <w:sz w:val="13"/>
              </w:rPr>
              <w:t>Modelled</w:t>
            </w:r>
          </w:p>
        </w:tc>
        <w:tc>
          <w:tcPr>
            <w:tcW w:type="dxa" w:w="2098"/>
          </w:tcPr>
          <w:p>
            <w:pPr>
              <w:spacing w:after="20" w:before="20"/>
            </w:pPr>
            <w:r/>
            <w:r>
              <w:rPr>
                <w:b w:val="0"/>
                <w:sz w:val="13"/>
              </w:rPr>
              <w:t>A doctoral programme that will host the posts</w:t>
            </w:r>
          </w:p>
        </w:tc>
        <w:tc>
          <w:tcPr>
            <w:tcW w:type="dxa" w:w="2154"/>
          </w:tcPr>
          <w:p>
            <w:pPr>
              <w:spacing w:after="20" w:before="20"/>
            </w:pPr>
            <w:r/>
            <w:r>
              <w:rPr>
                <w:b w:val="0"/>
                <w:sz w:val="13"/>
              </w:rPr>
              <w:t>Disappears entirely without a host; does not simply cost more</w:t>
            </w:r>
          </w:p>
        </w:tc>
      </w:tr>
      <w:tr>
        <w:trPr>
          <w:cantSplit/>
        </w:trPr>
        <w:tc>
          <w:tcPr>
            <w:tcW w:type="dxa" w:w="2381"/>
            <w:shd w:val="clear" w:fill="EAF4EF"/>
          </w:tcPr>
          <w:p>
            <w:pPr>
              <w:spacing w:after="20" w:before="20"/>
            </w:pPr>
            <w:r/>
            <w:r>
              <w:rPr>
                <w:b w:val="0"/>
                <w:sz w:val="13"/>
              </w:rPr>
              <w:t>Research engineers &amp; data steward (0.5 / 2 / 3.5)</w:t>
            </w:r>
          </w:p>
        </w:tc>
        <w:tc>
          <w:tcPr>
            <w:tcW w:type="dxa" w:w="1077"/>
            <w:shd w:val="clear" w:fill="EAF4EF"/>
          </w:tcPr>
          <w:p>
            <w:pPr>
              <w:spacing w:after="20" w:before="20"/>
            </w:pPr>
            <w:r/>
            <w:r>
              <w:rPr>
                <w:b w:val="0"/>
                <w:sz w:val="13"/>
              </w:rPr>
              <w:t>€480,000</w:t>
            </w:r>
          </w:p>
        </w:tc>
        <w:tc>
          <w:tcPr>
            <w:tcW w:type="dxa" w:w="680"/>
            <w:shd w:val="clear" w:fill="EAF4EF"/>
          </w:tcPr>
          <w:p>
            <w:pPr>
              <w:spacing w:after="20" w:before="20"/>
            </w:pPr>
            <w:r/>
            <w:r>
              <w:rPr>
                <w:b w:val="0"/>
                <w:sz w:val="13"/>
              </w:rPr>
              <w:t>12.1%</w:t>
            </w:r>
          </w:p>
        </w:tc>
        <w:tc>
          <w:tcPr>
            <w:tcW w:type="dxa" w:w="1361"/>
            <w:shd w:val="clear" w:fill="EAF4EF"/>
          </w:tcPr>
          <w:p>
            <w:pPr>
              <w:spacing w:after="20" w:before="20"/>
            </w:pPr>
            <w:r/>
            <w:r>
              <w:rPr>
                <w:b w:val="0"/>
                <w:sz w:val="13"/>
              </w:rPr>
              <w:t>Modelled — under band</w:t>
            </w:r>
          </w:p>
        </w:tc>
        <w:tc>
          <w:tcPr>
            <w:tcW w:type="dxa" w:w="2098"/>
            <w:shd w:val="clear" w:fill="EAF4EF"/>
          </w:tcPr>
          <w:p>
            <w:pPr>
              <w:spacing w:after="20" w:before="20"/>
            </w:pPr>
            <w:r/>
            <w:r>
              <w:rPr>
                <w:b w:val="0"/>
                <w:sz w:val="13"/>
              </w:rPr>
              <w:t>Two contractor rate cards, or an employer salary scale</w:t>
            </w:r>
          </w:p>
        </w:tc>
        <w:tc>
          <w:tcPr>
            <w:tcW w:type="dxa" w:w="2154"/>
            <w:shd w:val="clear" w:fill="EAF4EF"/>
          </w:tcPr>
          <w:p>
            <w:pPr>
              <w:spacing w:after="20" w:before="20"/>
            </w:pPr>
            <w:r/>
            <w:r>
              <w:rPr>
                <w:b w:val="0"/>
                <w:sz w:val="13"/>
              </w:rPr>
              <w:t>Under-carried by roughly €0.3M at the rates in 5.1 (see 5.4)</w:t>
            </w:r>
          </w:p>
        </w:tc>
      </w:tr>
      <w:tr>
        <w:trPr>
          <w:cantSplit/>
        </w:trPr>
        <w:tc>
          <w:tcPr>
            <w:tcW w:type="dxa" w:w="2381"/>
          </w:tcPr>
          <w:p>
            <w:pPr>
              <w:spacing w:after="20" w:before="20"/>
            </w:pPr>
            <w:r/>
            <w:r>
              <w:rPr>
                <w:b w:val="0"/>
                <w:sz w:val="13"/>
              </w:rPr>
              <w:t>Statistician &amp; psychometrician (0.2 / 0.5 / 1.0)</w:t>
            </w:r>
          </w:p>
        </w:tc>
        <w:tc>
          <w:tcPr>
            <w:tcW w:type="dxa" w:w="1077"/>
          </w:tcPr>
          <w:p>
            <w:pPr>
              <w:spacing w:after="20" w:before="20"/>
            </w:pPr>
            <w:r/>
            <w:r>
              <w:rPr>
                <w:b w:val="0"/>
                <w:sz w:val="13"/>
              </w:rPr>
              <w:t>€180,000</w:t>
            </w:r>
          </w:p>
        </w:tc>
        <w:tc>
          <w:tcPr>
            <w:tcW w:type="dxa" w:w="680"/>
          </w:tcPr>
          <w:p>
            <w:pPr>
              <w:spacing w:after="20" w:before="20"/>
            </w:pPr>
            <w:r/>
            <w:r>
              <w:rPr>
                <w:b w:val="0"/>
                <w:sz w:val="13"/>
              </w:rPr>
              <w:t>4.5%</w:t>
            </w:r>
          </w:p>
        </w:tc>
        <w:tc>
          <w:tcPr>
            <w:tcW w:type="dxa" w:w="1361"/>
          </w:tcPr>
          <w:p>
            <w:pPr>
              <w:spacing w:after="20" w:before="20"/>
            </w:pPr>
            <w:r/>
            <w:r>
              <w:rPr>
                <w:b w:val="0"/>
                <w:sz w:val="13"/>
              </w:rPr>
              <w:t>Modelled — under band</w:t>
            </w:r>
          </w:p>
        </w:tc>
        <w:tc>
          <w:tcPr>
            <w:tcW w:type="dxa" w:w="2098"/>
          </w:tcPr>
          <w:p>
            <w:pPr>
              <w:spacing w:after="20" w:before="20"/>
            </w:pPr>
            <w:r/>
            <w:r>
              <w:rPr>
                <w:b w:val="0"/>
                <w:sz w:val="13"/>
              </w:rPr>
              <w:t>A rate card from an independent methods provider</w:t>
            </w:r>
          </w:p>
        </w:tc>
        <w:tc>
          <w:tcPr>
            <w:tcW w:type="dxa" w:w="2154"/>
          </w:tcPr>
          <w:p>
            <w:pPr>
              <w:spacing w:after="20" w:before="20"/>
            </w:pPr>
            <w:r/>
            <w:r>
              <w:rPr>
                <w:b w:val="0"/>
                <w:sz w:val="13"/>
              </w:rPr>
              <w:t>Under-carried by roughly €0.23M at the rates in 5.1 (see 5.4)</w:t>
            </w:r>
          </w:p>
        </w:tc>
      </w:tr>
      <w:tr>
        <w:trPr>
          <w:cantSplit/>
        </w:trPr>
        <w:tc>
          <w:tcPr>
            <w:tcW w:type="dxa" w:w="2381"/>
            <w:shd w:val="clear" w:fill="EAF4EF"/>
          </w:tcPr>
          <w:p>
            <w:pPr>
              <w:spacing w:after="20" w:before="20"/>
            </w:pPr>
            <w:r/>
            <w:r>
              <w:rPr>
                <w:b w:val="0"/>
                <w:sz w:val="13"/>
              </w:rPr>
              <w:t>Operations, legal, governance &amp; ethics (0.3 / 1.0 / 2.5)</w:t>
            </w:r>
          </w:p>
        </w:tc>
        <w:tc>
          <w:tcPr>
            <w:tcW w:type="dxa" w:w="1077"/>
            <w:shd w:val="clear" w:fill="EAF4EF"/>
          </w:tcPr>
          <w:p>
            <w:pPr>
              <w:spacing w:after="20" w:before="20"/>
            </w:pPr>
            <w:r/>
            <w:r>
              <w:rPr>
                <w:b w:val="0"/>
                <w:sz w:val="13"/>
              </w:rPr>
              <w:t>€300,000</w:t>
            </w:r>
          </w:p>
        </w:tc>
        <w:tc>
          <w:tcPr>
            <w:tcW w:type="dxa" w:w="680"/>
            <w:shd w:val="clear" w:fill="EAF4EF"/>
          </w:tcPr>
          <w:p>
            <w:pPr>
              <w:spacing w:after="20" w:before="20"/>
            </w:pPr>
            <w:r/>
            <w:r>
              <w:rPr>
                <w:b w:val="0"/>
                <w:sz w:val="13"/>
              </w:rPr>
              <w:t>7.6%</w:t>
            </w:r>
          </w:p>
        </w:tc>
        <w:tc>
          <w:tcPr>
            <w:tcW w:type="dxa" w:w="1361"/>
            <w:shd w:val="clear" w:fill="EAF4EF"/>
          </w:tcPr>
          <w:p>
            <w:pPr>
              <w:spacing w:after="20" w:before="20"/>
            </w:pPr>
            <w:r/>
            <w:r>
              <w:rPr>
                <w:b w:val="0"/>
                <w:sz w:val="13"/>
              </w:rPr>
              <w:t>Modelled</w:t>
            </w:r>
          </w:p>
        </w:tc>
        <w:tc>
          <w:tcPr>
            <w:tcW w:type="dxa" w:w="2098"/>
            <w:shd w:val="clear" w:fill="EAF4EF"/>
          </w:tcPr>
          <w:p>
            <w:pPr>
              <w:spacing w:after="20" w:before="20"/>
            </w:pPr>
            <w:r/>
            <w:r>
              <w:rPr>
                <w:b w:val="0"/>
                <w:sz w:val="13"/>
              </w:rPr>
              <w:t>A DPO service quote and a legal retainer</w:t>
            </w:r>
          </w:p>
        </w:tc>
        <w:tc>
          <w:tcPr>
            <w:tcW w:type="dxa" w:w="2154"/>
            <w:shd w:val="clear" w:fill="EAF4EF"/>
          </w:tcPr>
          <w:p>
            <w:pPr>
              <w:spacing w:after="20" w:before="20"/>
            </w:pPr>
            <w:r/>
            <w:r>
              <w:rPr>
                <w:b w:val="0"/>
                <w:sz w:val="13"/>
              </w:rPr>
              <w:t>Ethics review inside it is a PLACEHOLDER, not a price</w:t>
            </w:r>
          </w:p>
        </w:tc>
      </w:tr>
      <w:tr>
        <w:trPr>
          <w:cantSplit/>
        </w:trPr>
        <w:tc>
          <w:tcPr>
            <w:tcW w:type="dxa" w:w="2381"/>
          </w:tcPr>
          <w:p>
            <w:pPr>
              <w:spacing w:after="20" w:before="20"/>
            </w:pPr>
            <w:r/>
            <w:r>
              <w:rPr>
                <w:b w:val="0"/>
                <w:sz w:val="13"/>
              </w:rPr>
              <w:t>Model inference &amp; compute (API + cluster share)</w:t>
            </w:r>
          </w:p>
        </w:tc>
        <w:tc>
          <w:tcPr>
            <w:tcW w:type="dxa" w:w="1077"/>
          </w:tcPr>
          <w:p>
            <w:pPr>
              <w:spacing w:after="20" w:before="20"/>
            </w:pPr>
            <w:r/>
            <w:r>
              <w:rPr>
                <w:b w:val="0"/>
                <w:sz w:val="13"/>
              </w:rPr>
              <w:t>€450,000</w:t>
            </w:r>
          </w:p>
        </w:tc>
        <w:tc>
          <w:tcPr>
            <w:tcW w:type="dxa" w:w="680"/>
          </w:tcPr>
          <w:p>
            <w:pPr>
              <w:spacing w:after="20" w:before="20"/>
            </w:pPr>
            <w:r/>
            <w:r>
              <w:rPr>
                <w:b w:val="0"/>
                <w:sz w:val="13"/>
              </w:rPr>
              <w:t>11.4%</w:t>
            </w:r>
          </w:p>
        </w:tc>
        <w:tc>
          <w:tcPr>
            <w:tcW w:type="dxa" w:w="1361"/>
          </w:tcPr>
          <w:p>
            <w:pPr>
              <w:spacing w:after="20" w:before="20"/>
            </w:pPr>
            <w:r/>
            <w:r>
              <w:rPr>
                <w:b w:val="0"/>
                <w:sz w:val="13"/>
              </w:rPr>
              <w:t>Placeholder inside an envelope</w:t>
            </w:r>
          </w:p>
        </w:tc>
        <w:tc>
          <w:tcPr>
            <w:tcW w:type="dxa" w:w="2098"/>
          </w:tcPr>
          <w:p>
            <w:pPr>
              <w:spacing w:after="20" w:before="20"/>
            </w:pPr>
            <w:r/>
            <w:r>
              <w:rPr>
                <w:b w:val="0"/>
                <w:sz w:val="13"/>
              </w:rPr>
              <w:t>One framework agreement with a frontier vendor and one GPU-hour quote</w:t>
            </w:r>
          </w:p>
        </w:tc>
        <w:tc>
          <w:tcPr>
            <w:tcW w:type="dxa" w:w="2154"/>
          </w:tcPr>
          <w:p>
            <w:pPr>
              <w:spacing w:after="20" w:before="20"/>
            </w:pPr>
            <w:r/>
            <w:r>
              <w:rPr>
                <w:b w:val="0"/>
                <w:sz w:val="13"/>
              </w:rPr>
              <w:t>11% of the Core total; ×0.5 to ×2 moves the total by −5.7% to +11.4% before contingency, rather more after it</w:t>
            </w:r>
          </w:p>
        </w:tc>
      </w:tr>
      <w:tr>
        <w:trPr>
          <w:cantSplit/>
        </w:trPr>
        <w:tc>
          <w:tcPr>
            <w:tcW w:type="dxa" w:w="2381"/>
            <w:shd w:val="clear" w:fill="EAF4EF"/>
          </w:tcPr>
          <w:p>
            <w:pPr>
              <w:spacing w:after="20" w:before="20"/>
            </w:pPr>
            <w:r/>
            <w:r>
              <w:rPr>
                <w:b w:val="0"/>
                <w:sz w:val="13"/>
              </w:rPr>
              <w:t>Annotation &amp; scoring labour (incl. rater teams)</w:t>
            </w:r>
          </w:p>
        </w:tc>
        <w:tc>
          <w:tcPr>
            <w:tcW w:type="dxa" w:w="1077"/>
            <w:shd w:val="clear" w:fill="EAF4EF"/>
          </w:tcPr>
          <w:p>
            <w:pPr>
              <w:spacing w:after="20" w:before="20"/>
            </w:pPr>
            <w:r/>
            <w:r>
              <w:rPr>
                <w:b w:val="0"/>
                <w:sz w:val="13"/>
              </w:rPr>
              <w:t>€220,000</w:t>
            </w:r>
          </w:p>
        </w:tc>
        <w:tc>
          <w:tcPr>
            <w:tcW w:type="dxa" w:w="680"/>
            <w:shd w:val="clear" w:fill="EAF4EF"/>
          </w:tcPr>
          <w:p>
            <w:pPr>
              <w:spacing w:after="20" w:before="20"/>
            </w:pPr>
            <w:r/>
            <w:r>
              <w:rPr>
                <w:b w:val="0"/>
                <w:sz w:val="13"/>
              </w:rPr>
              <w:t>5.6%</w:t>
            </w:r>
          </w:p>
        </w:tc>
        <w:tc>
          <w:tcPr>
            <w:tcW w:type="dxa" w:w="1361"/>
            <w:shd w:val="clear" w:fill="EAF4EF"/>
          </w:tcPr>
          <w:p>
            <w:pPr>
              <w:spacing w:after="20" w:before="20"/>
            </w:pPr>
            <w:r/>
            <w:r>
              <w:rPr>
                <w:b w:val="0"/>
                <w:sz w:val="13"/>
              </w:rPr>
              <w:t>Modelled</w:t>
            </w:r>
          </w:p>
        </w:tc>
        <w:tc>
          <w:tcPr>
            <w:tcW w:type="dxa" w:w="2098"/>
            <w:shd w:val="clear" w:fill="EAF4EF"/>
          </w:tcPr>
          <w:p>
            <w:pPr>
              <w:spacing w:after="20" w:before="20"/>
            </w:pPr>
            <w:r/>
            <w:r>
              <w:rPr>
                <w:b w:val="0"/>
                <w:sz w:val="13"/>
              </w:rPr>
              <w:t>A rater pay scale and a measured minutes-per-item rate from the pilot</w:t>
            </w:r>
          </w:p>
        </w:tc>
        <w:tc>
          <w:tcPr>
            <w:tcW w:type="dxa" w:w="2154"/>
            <w:shd w:val="clear" w:fill="EAF4EF"/>
          </w:tcPr>
          <w:p>
            <w:pPr>
              <w:spacing w:after="20" w:before="20"/>
            </w:pPr>
            <w:r/>
            <w:r>
              <w:rPr>
                <w:b w:val="0"/>
                <w:sz w:val="13"/>
              </w:rPr>
              <w:t>Scales with the WP3 scope decision (6.9)</w:t>
            </w:r>
          </w:p>
        </w:tc>
      </w:tr>
      <w:tr>
        <w:trPr>
          <w:cantSplit/>
        </w:trPr>
        <w:tc>
          <w:tcPr>
            <w:tcW w:type="dxa" w:w="2381"/>
          </w:tcPr>
          <w:p>
            <w:pPr>
              <w:spacing w:after="20" w:before="20"/>
            </w:pPr>
            <w:r/>
            <w:r>
              <w:rPr>
                <w:b w:val="0"/>
                <w:sz w:val="13"/>
              </w:rPr>
              <w:t>Containment infrastructure (induction lab)</w:t>
            </w:r>
          </w:p>
        </w:tc>
        <w:tc>
          <w:tcPr>
            <w:tcW w:type="dxa" w:w="1077"/>
          </w:tcPr>
          <w:p>
            <w:pPr>
              <w:spacing w:after="20" w:before="20"/>
            </w:pPr>
            <w:r/>
            <w:r>
              <w:rPr>
                <w:b w:val="0"/>
                <w:sz w:val="13"/>
              </w:rPr>
              <w:t>€120,000</w:t>
            </w:r>
          </w:p>
        </w:tc>
        <w:tc>
          <w:tcPr>
            <w:tcW w:type="dxa" w:w="680"/>
          </w:tcPr>
          <w:p>
            <w:pPr>
              <w:spacing w:after="20" w:before="20"/>
            </w:pPr>
            <w:r/>
            <w:r>
              <w:rPr>
                <w:b w:val="0"/>
                <w:sz w:val="13"/>
              </w:rPr>
              <w:t>3.0%</w:t>
            </w:r>
          </w:p>
        </w:tc>
        <w:tc>
          <w:tcPr>
            <w:tcW w:type="dxa" w:w="1361"/>
          </w:tcPr>
          <w:p>
            <w:pPr>
              <w:spacing w:after="20" w:before="20"/>
            </w:pPr>
            <w:r/>
            <w:r>
              <w:rPr>
                <w:b w:val="0"/>
                <w:sz w:val="13"/>
              </w:rPr>
              <w:t>Modelled + placeholder</w:t>
            </w:r>
          </w:p>
        </w:tc>
        <w:tc>
          <w:tcPr>
            <w:tcW w:type="dxa" w:w="2098"/>
          </w:tcPr>
          <w:p>
            <w:pPr>
              <w:spacing w:after="20" w:before="20"/>
            </w:pPr>
            <w:r/>
            <w:r>
              <w:rPr>
                <w:b w:val="0"/>
                <w:sz w:val="13"/>
              </w:rPr>
              <w:t>A quote for the air-gapped tier and for the agentic sandbox (task 4.7)</w:t>
            </w:r>
          </w:p>
        </w:tc>
        <w:tc>
          <w:tcPr>
            <w:tcW w:type="dxa" w:w="2154"/>
          </w:tcPr>
          <w:p>
            <w:pPr>
              <w:spacing w:after="20" w:before="20"/>
            </w:pPr>
            <w:r/>
            <w:r>
              <w:rPr>
                <w:b w:val="0"/>
                <w:sz w:val="13"/>
              </w:rPr>
              <w:t>The agentic tier is new in v1.1 and is not separately costed</w:t>
            </w:r>
          </w:p>
        </w:tc>
      </w:tr>
      <w:tr>
        <w:trPr>
          <w:cantSplit/>
        </w:trPr>
        <w:tc>
          <w:tcPr>
            <w:tcW w:type="dxa" w:w="2381"/>
            <w:shd w:val="clear" w:fill="EAF4EF"/>
          </w:tcPr>
          <w:p>
            <w:pPr>
              <w:spacing w:after="20" w:before="20"/>
            </w:pPr>
            <w:r/>
            <w:r>
              <w:rPr>
                <w:b w:val="0"/>
                <w:sz w:val="13"/>
              </w:rPr>
              <w:t>Training-set curation (CFC) &amp; licensing review</w:t>
            </w:r>
          </w:p>
        </w:tc>
        <w:tc>
          <w:tcPr>
            <w:tcW w:type="dxa" w:w="1077"/>
            <w:shd w:val="clear" w:fill="EAF4EF"/>
          </w:tcPr>
          <w:p>
            <w:pPr>
              <w:spacing w:after="20" w:before="20"/>
            </w:pPr>
            <w:r/>
            <w:r>
              <w:rPr>
                <w:b w:val="0"/>
                <w:sz w:val="13"/>
              </w:rPr>
              <w:t>€90,000</w:t>
            </w:r>
          </w:p>
        </w:tc>
        <w:tc>
          <w:tcPr>
            <w:tcW w:type="dxa" w:w="680"/>
            <w:shd w:val="clear" w:fill="EAF4EF"/>
          </w:tcPr>
          <w:p>
            <w:pPr>
              <w:spacing w:after="20" w:before="20"/>
            </w:pPr>
            <w:r/>
            <w:r>
              <w:rPr>
                <w:b w:val="0"/>
                <w:sz w:val="13"/>
              </w:rPr>
              <w:t>2.3%</w:t>
            </w:r>
          </w:p>
        </w:tc>
        <w:tc>
          <w:tcPr>
            <w:tcW w:type="dxa" w:w="1361"/>
            <w:shd w:val="clear" w:fill="EAF4EF"/>
          </w:tcPr>
          <w:p>
            <w:pPr>
              <w:spacing w:after="20" w:before="20"/>
            </w:pPr>
            <w:r/>
            <w:r>
              <w:rPr>
                <w:b w:val="0"/>
                <w:sz w:val="13"/>
              </w:rPr>
              <w:t>Modelled</w:t>
            </w:r>
          </w:p>
        </w:tc>
        <w:tc>
          <w:tcPr>
            <w:tcW w:type="dxa" w:w="2098"/>
            <w:shd w:val="clear" w:fill="EAF4EF"/>
          </w:tcPr>
          <w:p>
            <w:pPr>
              <w:spacing w:after="20" w:before="20"/>
            </w:pPr>
            <w:r/>
            <w:r>
              <w:rPr>
                <w:b w:val="0"/>
                <w:sz w:val="13"/>
              </w:rPr>
              <w:t>A licensing counsel estimate against a named corpus list</w:t>
            </w:r>
          </w:p>
        </w:tc>
        <w:tc>
          <w:tcPr>
            <w:tcW w:type="dxa" w:w="2154"/>
            <w:shd w:val="clear" w:fill="EAF4EF"/>
          </w:tcPr>
          <w:p>
            <w:pPr>
              <w:spacing w:after="20" w:before="20"/>
            </w:pPr>
            <w:r/>
            <w:r>
              <w:rPr>
                <w:b w:val="0"/>
                <w:sz w:val="13"/>
              </w:rPr>
              <w:t>Moves with the licence position of the corpora, not with the catalogue</w:t>
            </w:r>
          </w:p>
        </w:tc>
      </w:tr>
      <w:tr>
        <w:trPr>
          <w:cantSplit/>
        </w:trPr>
        <w:tc>
          <w:tcPr>
            <w:tcW w:type="dxa" w:w="2381"/>
          </w:tcPr>
          <w:p>
            <w:pPr>
              <w:spacing w:after="20" w:before="20"/>
            </w:pPr>
            <w:r/>
            <w:r>
              <w:rPr>
                <w:b w:val="0"/>
                <w:sz w:val="13"/>
              </w:rPr>
              <w:t>Independent review, audits &amp; certification pilot</w:t>
            </w:r>
          </w:p>
        </w:tc>
        <w:tc>
          <w:tcPr>
            <w:tcW w:type="dxa" w:w="1077"/>
          </w:tcPr>
          <w:p>
            <w:pPr>
              <w:spacing w:after="20" w:before="20"/>
            </w:pPr>
            <w:r/>
            <w:r>
              <w:rPr>
                <w:b w:val="0"/>
                <w:sz w:val="13"/>
              </w:rPr>
              <w:t>€180,000</w:t>
            </w:r>
          </w:p>
        </w:tc>
        <w:tc>
          <w:tcPr>
            <w:tcW w:type="dxa" w:w="680"/>
          </w:tcPr>
          <w:p>
            <w:pPr>
              <w:spacing w:after="20" w:before="20"/>
            </w:pPr>
            <w:r/>
            <w:r>
              <w:rPr>
                <w:b w:val="0"/>
                <w:sz w:val="13"/>
              </w:rPr>
              <w:t>4.5%</w:t>
            </w:r>
          </w:p>
        </w:tc>
        <w:tc>
          <w:tcPr>
            <w:tcW w:type="dxa" w:w="1361"/>
          </w:tcPr>
          <w:p>
            <w:pPr>
              <w:spacing w:after="20" w:before="20"/>
            </w:pPr>
            <w:r/>
            <w:r>
              <w:rPr>
                <w:b w:val="0"/>
                <w:sz w:val="13"/>
              </w:rPr>
              <w:t>Modelled</w:t>
            </w:r>
          </w:p>
        </w:tc>
        <w:tc>
          <w:tcPr>
            <w:tcW w:type="dxa" w:w="2098"/>
          </w:tcPr>
          <w:p>
            <w:pPr>
              <w:spacing w:after="20" w:before="20"/>
            </w:pPr>
            <w:r/>
            <w:r>
              <w:rPr>
                <w:b w:val="0"/>
                <w:sz w:val="13"/>
              </w:rPr>
              <w:t>An auditor rate card and an accreditation consultant quote</w:t>
            </w:r>
          </w:p>
        </w:tc>
        <w:tc>
          <w:tcPr>
            <w:tcW w:type="dxa" w:w="2154"/>
          </w:tcPr>
          <w:p>
            <w:pPr>
              <w:spacing w:after="20" w:before="20"/>
            </w:pPr>
            <w:r/>
            <w:r>
              <w:rPr>
                <w:b w:val="0"/>
                <w:sz w:val="13"/>
              </w:rPr>
              <w:t>Fixed-shape work; low sensitivity to the catalogue</w:t>
            </w:r>
          </w:p>
        </w:tc>
      </w:tr>
      <w:tr>
        <w:trPr>
          <w:cantSplit/>
        </w:trPr>
        <w:tc>
          <w:tcPr>
            <w:tcW w:type="dxa" w:w="2381"/>
            <w:shd w:val="clear" w:fill="EAF4EF"/>
          </w:tcPr>
          <w:p>
            <w:pPr>
              <w:spacing w:after="20" w:before="20"/>
            </w:pPr>
            <w:r/>
            <w:r>
              <w:rPr>
                <w:b w:val="0"/>
                <w:sz w:val="13"/>
              </w:rPr>
              <w:t>External panels &amp; expert elicitation</w:t>
            </w:r>
          </w:p>
        </w:tc>
        <w:tc>
          <w:tcPr>
            <w:tcW w:type="dxa" w:w="1077"/>
            <w:shd w:val="clear" w:fill="EAF4EF"/>
          </w:tcPr>
          <w:p>
            <w:pPr>
              <w:spacing w:after="20" w:before="20"/>
            </w:pPr>
            <w:r/>
            <w:r>
              <w:rPr>
                <w:b w:val="0"/>
                <w:sz w:val="13"/>
              </w:rPr>
              <w:t>€65,000</w:t>
            </w:r>
          </w:p>
        </w:tc>
        <w:tc>
          <w:tcPr>
            <w:tcW w:type="dxa" w:w="680"/>
            <w:shd w:val="clear" w:fill="EAF4EF"/>
          </w:tcPr>
          <w:p>
            <w:pPr>
              <w:spacing w:after="20" w:before="20"/>
            </w:pPr>
            <w:r/>
            <w:r>
              <w:rPr>
                <w:b w:val="0"/>
                <w:sz w:val="13"/>
              </w:rPr>
              <w:t>1.6%</w:t>
            </w:r>
          </w:p>
        </w:tc>
        <w:tc>
          <w:tcPr>
            <w:tcW w:type="dxa" w:w="1361"/>
            <w:shd w:val="clear" w:fill="EAF4EF"/>
          </w:tcPr>
          <w:p>
            <w:pPr>
              <w:spacing w:after="20" w:before="20"/>
            </w:pPr>
            <w:r/>
            <w:r>
              <w:rPr>
                <w:b w:val="0"/>
                <w:sz w:val="13"/>
              </w:rPr>
              <w:t>Modelled</w:t>
            </w:r>
          </w:p>
        </w:tc>
        <w:tc>
          <w:tcPr>
            <w:tcW w:type="dxa" w:w="2098"/>
            <w:shd w:val="clear" w:fill="EAF4EF"/>
          </w:tcPr>
          <w:p>
            <w:pPr>
              <w:spacing w:after="20" w:before="20"/>
            </w:pPr>
            <w:r/>
            <w:r>
              <w:rPr>
                <w:b w:val="0"/>
                <w:sz w:val="13"/>
              </w:rPr>
              <w:t>Ten confirmed panel chairs and an honorarium policy</w:t>
            </w:r>
          </w:p>
        </w:tc>
        <w:tc>
          <w:tcPr>
            <w:tcW w:type="dxa" w:w="2154"/>
            <w:shd w:val="clear" w:fill="EAF4EF"/>
          </w:tcPr>
          <w:p>
            <w:pPr>
              <w:spacing w:after="20" w:before="20"/>
            </w:pPr>
            <w:r/>
            <w:r>
              <w:rPr>
                <w:b w:val="0"/>
                <w:sz w:val="13"/>
              </w:rPr>
              <w:t>Ten axis panels, not ninety trait panels: insensitive to the catalogue</w:t>
            </w:r>
          </w:p>
        </w:tc>
      </w:tr>
      <w:tr>
        <w:trPr>
          <w:cantSplit/>
        </w:trPr>
        <w:tc>
          <w:tcPr>
            <w:tcW w:type="dxa" w:w="2381"/>
          </w:tcPr>
          <w:p>
            <w:pPr>
              <w:spacing w:after="20" w:before="20"/>
            </w:pPr>
            <w:r/>
            <w:r>
              <w:rPr>
                <w:b w:val="0"/>
                <w:sz w:val="13"/>
              </w:rPr>
              <w:t>Travel, workshops &amp; conferences</w:t>
            </w:r>
          </w:p>
        </w:tc>
        <w:tc>
          <w:tcPr>
            <w:tcW w:type="dxa" w:w="1077"/>
          </w:tcPr>
          <w:p>
            <w:pPr>
              <w:spacing w:after="20" w:before="20"/>
            </w:pPr>
            <w:r/>
            <w:r>
              <w:rPr>
                <w:b w:val="0"/>
                <w:sz w:val="13"/>
              </w:rPr>
              <w:t>€140,000</w:t>
            </w:r>
          </w:p>
        </w:tc>
        <w:tc>
          <w:tcPr>
            <w:tcW w:type="dxa" w:w="680"/>
          </w:tcPr>
          <w:p>
            <w:pPr>
              <w:spacing w:after="20" w:before="20"/>
            </w:pPr>
            <w:r/>
            <w:r>
              <w:rPr>
                <w:b w:val="0"/>
                <w:sz w:val="13"/>
              </w:rPr>
              <w:t>3.5%</w:t>
            </w:r>
          </w:p>
        </w:tc>
        <w:tc>
          <w:tcPr>
            <w:tcW w:type="dxa" w:w="1361"/>
          </w:tcPr>
          <w:p>
            <w:pPr>
              <w:spacing w:after="20" w:before="20"/>
            </w:pPr>
            <w:r/>
            <w:r>
              <w:rPr>
                <w:b w:val="0"/>
                <w:sz w:val="13"/>
              </w:rPr>
              <w:t>Modelled</w:t>
            </w:r>
          </w:p>
        </w:tc>
        <w:tc>
          <w:tcPr>
            <w:tcW w:type="dxa" w:w="2098"/>
          </w:tcPr>
          <w:p>
            <w:pPr>
              <w:spacing w:after="20" w:before="20"/>
            </w:pPr>
            <w:r/>
            <w:r>
              <w:rPr>
                <w:b w:val="0"/>
                <w:sz w:val="13"/>
              </w:rPr>
              <w:t>Nothing — it is a rate times a count</w:t>
            </w:r>
          </w:p>
        </w:tc>
        <w:tc>
          <w:tcPr>
            <w:tcW w:type="dxa" w:w="2154"/>
          </w:tcPr>
          <w:p>
            <w:pPr>
              <w:spacing w:after="20" w:before="20"/>
            </w:pPr>
            <w:r/>
            <w:r>
              <w:rPr>
                <w:b w:val="0"/>
                <w:sz w:val="13"/>
              </w:rPr>
              <w:t>Low sensitivity</w:t>
            </w:r>
          </w:p>
        </w:tc>
      </w:tr>
      <w:tr>
        <w:trPr>
          <w:cantSplit/>
        </w:trPr>
        <w:tc>
          <w:tcPr>
            <w:tcW w:type="dxa" w:w="2381"/>
            <w:shd w:val="clear" w:fill="EAF4EF"/>
          </w:tcPr>
          <w:p>
            <w:pPr>
              <w:spacing w:after="20" w:before="20"/>
            </w:pPr>
            <w:r/>
            <w:r>
              <w:rPr>
                <w:b w:val="0"/>
                <w:sz w:val="13"/>
              </w:rPr>
              <w:t>Publication (open access) &amp; data hosting</w:t>
            </w:r>
          </w:p>
        </w:tc>
        <w:tc>
          <w:tcPr>
            <w:tcW w:type="dxa" w:w="1077"/>
            <w:shd w:val="clear" w:fill="EAF4EF"/>
          </w:tcPr>
          <w:p>
            <w:pPr>
              <w:spacing w:after="20" w:before="20"/>
            </w:pPr>
            <w:r/>
            <w:r>
              <w:rPr>
                <w:b w:val="0"/>
                <w:sz w:val="13"/>
              </w:rPr>
              <w:t>€70,000</w:t>
            </w:r>
          </w:p>
        </w:tc>
        <w:tc>
          <w:tcPr>
            <w:tcW w:type="dxa" w:w="680"/>
            <w:shd w:val="clear" w:fill="EAF4EF"/>
          </w:tcPr>
          <w:p>
            <w:pPr>
              <w:spacing w:after="20" w:before="20"/>
            </w:pPr>
            <w:r/>
            <w:r>
              <w:rPr>
                <w:b w:val="0"/>
                <w:sz w:val="13"/>
              </w:rPr>
              <w:t>1.8%</w:t>
            </w:r>
          </w:p>
        </w:tc>
        <w:tc>
          <w:tcPr>
            <w:tcW w:type="dxa" w:w="1361"/>
            <w:shd w:val="clear" w:fill="EAF4EF"/>
          </w:tcPr>
          <w:p>
            <w:pPr>
              <w:spacing w:after="20" w:before="20"/>
            </w:pPr>
            <w:r/>
            <w:r>
              <w:rPr>
                <w:b w:val="0"/>
                <w:sz w:val="13"/>
              </w:rPr>
              <w:t>Modelled</w:t>
            </w:r>
          </w:p>
        </w:tc>
        <w:tc>
          <w:tcPr>
            <w:tcW w:type="dxa" w:w="2098"/>
            <w:shd w:val="clear" w:fill="EAF4EF"/>
          </w:tcPr>
          <w:p>
            <w:pPr>
              <w:spacing w:after="20" w:before="20"/>
            </w:pPr>
            <w:r/>
            <w:r>
              <w:rPr>
                <w:b w:val="0"/>
                <w:sz w:val="13"/>
              </w:rPr>
              <w:t>Venue APC schedules for the target journals</w:t>
            </w:r>
          </w:p>
        </w:tc>
        <w:tc>
          <w:tcPr>
            <w:tcW w:type="dxa" w:w="2154"/>
            <w:shd w:val="clear" w:fill="EAF4EF"/>
          </w:tcPr>
          <w:p>
            <w:pPr>
              <w:spacing w:after="20" w:before="20"/>
            </w:pPr>
            <w:r/>
            <w:r>
              <w:rPr>
                <w:b w:val="0"/>
                <w:sz w:val="13"/>
              </w:rPr>
              <w:t>Low sensitivity</w:t>
            </w:r>
          </w:p>
        </w:tc>
      </w:tr>
      <w:tr>
        <w:trPr>
          <w:cantSplit/>
        </w:trPr>
        <w:tc>
          <w:tcPr>
            <w:tcW w:type="dxa" w:w="2381"/>
          </w:tcPr>
          <w:p>
            <w:pPr>
              <w:spacing w:after="20" w:before="20"/>
            </w:pPr>
            <w:r/>
            <w:r>
              <w:rPr>
                <w:b w:val="0"/>
                <w:sz w:val="13"/>
              </w:rPr>
              <w:t>Equipment, licences &amp; consumables</w:t>
            </w:r>
          </w:p>
        </w:tc>
        <w:tc>
          <w:tcPr>
            <w:tcW w:type="dxa" w:w="1077"/>
          </w:tcPr>
          <w:p>
            <w:pPr>
              <w:spacing w:after="20" w:before="20"/>
            </w:pPr>
            <w:r/>
            <w:r>
              <w:rPr>
                <w:b w:val="0"/>
                <w:sz w:val="13"/>
              </w:rPr>
              <w:t>€55,000</w:t>
            </w:r>
          </w:p>
        </w:tc>
        <w:tc>
          <w:tcPr>
            <w:tcW w:type="dxa" w:w="680"/>
          </w:tcPr>
          <w:p>
            <w:pPr>
              <w:spacing w:after="20" w:before="20"/>
            </w:pPr>
            <w:r/>
            <w:r>
              <w:rPr>
                <w:b w:val="0"/>
                <w:sz w:val="13"/>
              </w:rPr>
              <w:t>1.4%</w:t>
            </w:r>
          </w:p>
        </w:tc>
        <w:tc>
          <w:tcPr>
            <w:tcW w:type="dxa" w:w="1361"/>
          </w:tcPr>
          <w:p>
            <w:pPr>
              <w:spacing w:after="20" w:before="20"/>
            </w:pPr>
            <w:r/>
            <w:r>
              <w:rPr>
                <w:b w:val="0"/>
                <w:sz w:val="13"/>
              </w:rPr>
              <w:t>Modelled</w:t>
            </w:r>
          </w:p>
        </w:tc>
        <w:tc>
          <w:tcPr>
            <w:tcW w:type="dxa" w:w="2098"/>
          </w:tcPr>
          <w:p>
            <w:pPr>
              <w:spacing w:after="20" w:before="20"/>
            </w:pPr>
            <w:r/>
            <w:r>
              <w:rPr>
                <w:b w:val="0"/>
                <w:sz w:val="13"/>
              </w:rPr>
              <w:t>A hardware and licence list</w:t>
            </w:r>
          </w:p>
        </w:tc>
        <w:tc>
          <w:tcPr>
            <w:tcW w:type="dxa" w:w="2154"/>
          </w:tcPr>
          <w:p>
            <w:pPr>
              <w:spacing w:after="20" w:before="20"/>
            </w:pPr>
            <w:r/>
            <w:r>
              <w:rPr>
                <w:b w:val="0"/>
                <w:sz w:val="13"/>
              </w:rPr>
              <w:t>Low sensitivity</w:t>
            </w:r>
          </w:p>
        </w:tc>
      </w:tr>
      <w:tr>
        <w:trPr>
          <w:cantSplit/>
        </w:trPr>
        <w:tc>
          <w:tcPr>
            <w:tcW w:type="dxa" w:w="2381"/>
            <w:shd w:val="clear" w:fill="EAF4EF"/>
          </w:tcPr>
          <w:p>
            <w:pPr>
              <w:spacing w:after="20" w:before="20"/>
            </w:pPr>
            <w:r/>
            <w:r>
              <w:rPr>
                <w:b w:val="0"/>
                <w:sz w:val="13"/>
              </w:rPr>
              <w:t>Training school &amp; community programmes</w:t>
            </w:r>
          </w:p>
        </w:tc>
        <w:tc>
          <w:tcPr>
            <w:tcW w:type="dxa" w:w="1077"/>
            <w:shd w:val="clear" w:fill="EAF4EF"/>
          </w:tcPr>
          <w:p>
            <w:pPr>
              <w:spacing w:after="20" w:before="20"/>
            </w:pPr>
            <w:r/>
            <w:r>
              <w:rPr>
                <w:b w:val="0"/>
                <w:sz w:val="13"/>
              </w:rPr>
              <w:t>€70,000</w:t>
            </w:r>
          </w:p>
        </w:tc>
        <w:tc>
          <w:tcPr>
            <w:tcW w:type="dxa" w:w="680"/>
            <w:shd w:val="clear" w:fill="EAF4EF"/>
          </w:tcPr>
          <w:p>
            <w:pPr>
              <w:spacing w:after="20" w:before="20"/>
            </w:pPr>
            <w:r/>
            <w:r>
              <w:rPr>
                <w:b w:val="0"/>
                <w:sz w:val="13"/>
              </w:rPr>
              <w:t>1.8%</w:t>
            </w:r>
          </w:p>
        </w:tc>
        <w:tc>
          <w:tcPr>
            <w:tcW w:type="dxa" w:w="1361"/>
            <w:shd w:val="clear" w:fill="EAF4EF"/>
          </w:tcPr>
          <w:p>
            <w:pPr>
              <w:spacing w:after="20" w:before="20"/>
            </w:pPr>
            <w:r/>
            <w:r>
              <w:rPr>
                <w:b w:val="0"/>
                <w:sz w:val="13"/>
              </w:rPr>
              <w:t>Modelled</w:t>
            </w:r>
          </w:p>
        </w:tc>
        <w:tc>
          <w:tcPr>
            <w:tcW w:type="dxa" w:w="2098"/>
            <w:shd w:val="clear" w:fill="EAF4EF"/>
          </w:tcPr>
          <w:p>
            <w:pPr>
              <w:spacing w:after="20" w:before="20"/>
            </w:pPr>
            <w:r/>
            <w:r>
              <w:rPr>
                <w:b w:val="0"/>
                <w:sz w:val="13"/>
              </w:rPr>
              <w:t>A venue quote and a seat-cost model</w:t>
            </w:r>
          </w:p>
        </w:tc>
        <w:tc>
          <w:tcPr>
            <w:tcW w:type="dxa" w:w="2154"/>
            <w:shd w:val="clear" w:fill="EAF4EF"/>
          </w:tcPr>
          <w:p>
            <w:pPr>
              <w:spacing w:after="20" w:before="20"/>
            </w:pPr>
            <w:r/>
            <w:r>
              <w:rPr>
                <w:b w:val="0"/>
                <w:sz w:val="13"/>
              </w:rPr>
              <w:t>Low sensitivity</w:t>
            </w:r>
          </w:p>
        </w:tc>
      </w:tr>
      <w:tr>
        <w:trPr>
          <w:cantSplit/>
        </w:trPr>
        <w:tc>
          <w:tcPr>
            <w:tcW w:type="dxa" w:w="2381"/>
          </w:tcPr>
          <w:p>
            <w:pPr>
              <w:spacing w:after="20" w:before="20"/>
            </w:pPr>
            <w:r/>
            <w:r>
              <w:rPr>
                <w:b w:val="0"/>
                <w:sz w:val="13"/>
              </w:rPr>
              <w:t>Contingency (5 / 10 / 12 %)</w:t>
            </w:r>
          </w:p>
        </w:tc>
        <w:tc>
          <w:tcPr>
            <w:tcW w:type="dxa" w:w="1077"/>
          </w:tcPr>
          <w:p>
            <w:pPr>
              <w:spacing w:after="20" w:before="20"/>
            </w:pPr>
            <w:r/>
            <w:r>
              <w:rPr>
                <w:b w:val="0"/>
                <w:sz w:val="13"/>
              </w:rPr>
              <w:t>€320,000</w:t>
            </w:r>
          </w:p>
        </w:tc>
        <w:tc>
          <w:tcPr>
            <w:tcW w:type="dxa" w:w="680"/>
          </w:tcPr>
          <w:p>
            <w:pPr>
              <w:spacing w:after="20" w:before="20"/>
            </w:pPr>
            <w:r/>
            <w:r>
              <w:rPr>
                <w:b w:val="0"/>
                <w:sz w:val="13"/>
              </w:rPr>
              <w:t>8.1%</w:t>
            </w:r>
          </w:p>
        </w:tc>
        <w:tc>
          <w:tcPr>
            <w:tcW w:type="dxa" w:w="1361"/>
          </w:tcPr>
          <w:p>
            <w:pPr>
              <w:spacing w:after="20" w:before="20"/>
            </w:pPr>
            <w:r/>
            <w:r>
              <w:rPr>
                <w:b w:val="0"/>
                <w:sz w:val="13"/>
              </w:rPr>
              <w:t>Derived</w:t>
            </w:r>
          </w:p>
        </w:tc>
        <w:tc>
          <w:tcPr>
            <w:tcW w:type="dxa" w:w="2098"/>
          </w:tcPr>
          <w:p>
            <w:pPr>
              <w:spacing w:after="20" w:before="20"/>
            </w:pPr>
            <w:r/>
            <w:r>
              <w:rPr>
                <w:b w:val="0"/>
                <w:sz w:val="13"/>
              </w:rPr>
              <w:t>Nothing — it is a percentage of the lines above</w:t>
            </w:r>
          </w:p>
        </w:tc>
        <w:tc>
          <w:tcPr>
            <w:tcW w:type="dxa" w:w="2154"/>
          </w:tcPr>
          <w:p>
            <w:pPr>
              <w:spacing w:after="20" w:before="20"/>
            </w:pPr>
            <w:r/>
            <w:r>
              <w:rPr>
                <w:b w:val="0"/>
                <w:sz w:val="13"/>
              </w:rPr>
              <w:t>Moves with every line above it; the label rounds, and 5.2 gives the percentages actually applied</w:t>
            </w:r>
          </w:p>
        </w:tc>
      </w:tr>
    </w:tbl>
    <w:p>
      <w:pPr>
        <w:spacing w:after="100"/>
      </w:pPr>
      <w:r>
        <w:rPr>
          <w:b w:val="0"/>
          <w:i/>
          <w:sz w:val="16"/>
        </w:rPr>
        <w:t>Nothing in the Status column reads ‘quoted’. That is the single most important fact about the cost estimation and it is stated here rather than left to be discovered: this is a plan priced from published rates and stated arithmetic, by a programme that has not yet been in a position to ask a supplier for anything.</w:t>
      </w:r>
    </w:p>
    <w:p>
      <w:pPr>
        <w:pStyle w:val="Heading2"/>
      </w:pPr>
      <w:r>
        <w:t>6.3 Cost lines — Lean scenario</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3742"/>
            <w:shd w:val="clear" w:fill="0F2622"/>
          </w:tcPr>
          <w:p>
            <w:pPr>
              <w:spacing w:after="20" w:before="20"/>
            </w:pPr>
            <w:r/>
            <w:r>
              <w:rPr>
                <w:b/>
                <w:color w:val="FFFFFF"/>
                <w:sz w:val="14"/>
              </w:rPr>
              <w:t>Cost line</w:t>
            </w:r>
          </w:p>
        </w:tc>
        <w:tc>
          <w:tcPr>
            <w:tcW w:type="dxa" w:w="1077"/>
            <w:shd w:val="clear" w:fill="0F2622"/>
          </w:tcPr>
          <w:p>
            <w:pPr>
              <w:spacing w:after="20" w:before="20"/>
            </w:pPr>
            <w:r/>
            <w:r>
              <w:rPr>
                <w:b/>
                <w:color w:val="FFFFFF"/>
                <w:sz w:val="14"/>
              </w:rPr>
              <w:t>Nature</w:t>
            </w:r>
          </w:p>
        </w:tc>
        <w:tc>
          <w:tcPr>
            <w:tcW w:type="dxa" w:w="1417"/>
            <w:shd w:val="clear" w:fill="0F2622"/>
          </w:tcPr>
          <w:p>
            <w:pPr>
              <w:spacing w:after="20" w:before="20"/>
            </w:pPr>
            <w:r/>
            <w:r>
              <w:rPr>
                <w:b/>
                <w:color w:val="FFFFFF"/>
                <w:sz w:val="14"/>
              </w:rPr>
              <w:t>Planning (€)</w:t>
            </w:r>
          </w:p>
        </w:tc>
        <w:tc>
          <w:tcPr>
            <w:tcW w:type="dxa" w:w="3175"/>
            <w:shd w:val="clear" w:fill="0F2622"/>
          </w:tcPr>
          <w:p>
            <w:pPr>
              <w:spacing w:after="20" w:before="20"/>
            </w:pPr>
            <w:r/>
            <w:r>
              <w:rPr>
                <w:b/>
                <w:color w:val="FFFFFF"/>
                <w:sz w:val="14"/>
              </w:rPr>
              <w:t>Basis</w:t>
            </w:r>
          </w:p>
        </w:tc>
      </w:tr>
      <w:tr>
        <w:trPr>
          <w:cantSplit/>
        </w:trPr>
        <w:tc>
          <w:tcPr>
            <w:tcW w:type="dxa" w:w="3742"/>
          </w:tcPr>
          <w:p>
            <w:pPr>
              <w:spacing w:after="20" w:before="20"/>
            </w:pPr>
            <w:r/>
            <w:r>
              <w:rPr>
                <w:b w:val="0"/>
                <w:sz w:val="14"/>
              </w:rPr>
              <w:t>Principal investigator (0.25 / 0.5 / 1.0 FTE)</w:t>
            </w:r>
          </w:p>
        </w:tc>
        <w:tc>
          <w:tcPr>
            <w:tcW w:type="dxa" w:w="1077"/>
          </w:tcPr>
          <w:p>
            <w:pPr>
              <w:spacing w:after="20" w:before="20"/>
            </w:pPr>
            <w:r/>
            <w:r>
              <w:rPr>
                <w:b w:val="0"/>
                <w:sz w:val="14"/>
              </w:rPr>
              <w:t>Recurring</w:t>
            </w:r>
          </w:p>
        </w:tc>
        <w:tc>
          <w:tcPr>
            <w:tcW w:type="dxa" w:w="1417"/>
          </w:tcPr>
          <w:p>
            <w:pPr>
              <w:spacing w:after="20" w:before="20"/>
            </w:pPr>
            <w:r/>
            <w:r>
              <w:rPr>
                <w:b w:val="0"/>
                <w:sz w:val="14"/>
              </w:rPr>
              <w:t>€150,000</w:t>
            </w:r>
          </w:p>
        </w:tc>
        <w:tc>
          <w:tcPr>
            <w:tcW w:type="dxa" w:w="3175"/>
          </w:tcPr>
          <w:p>
            <w:pPr>
              <w:spacing w:after="20" w:before="20"/>
            </w:pPr>
            <w:r/>
            <w:r>
              <w:rPr>
                <w:b w:val="0"/>
                <w:sz w:val="14"/>
              </w:rPr>
              <w:t>Loaded academic rate €70–90/h; may be contributed by a host institution</w:t>
            </w:r>
          </w:p>
        </w:tc>
      </w:tr>
      <w:tr>
        <w:trPr>
          <w:cantSplit/>
        </w:trPr>
        <w:tc>
          <w:tcPr>
            <w:tcW w:type="dxa" w:w="3742"/>
            <w:shd w:val="clear" w:fill="EAF4EF"/>
          </w:tcPr>
          <w:p>
            <w:pPr>
              <w:spacing w:after="20" w:before="20"/>
            </w:pPr>
            <w:r/>
            <w:r>
              <w:rPr>
                <w:b w:val="0"/>
                <w:sz w:val="14"/>
              </w:rPr>
              <w:t>Postdoctoral researchers (1 / 2 / 3)</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€240,000</w:t>
            </w:r>
          </w:p>
        </w:tc>
        <w:tc>
          <w:tcPr>
            <w:tcW w:type="dxa" w:w="3175"/>
            <w:shd w:val="clear" w:fill="EAF4EF"/>
          </w:tcPr>
          <w:p>
            <w:pPr>
              <w:spacing w:after="20" w:before="20"/>
            </w:pPr>
            <w:r/>
            <w:r>
              <w:rPr>
                <w:b w:val="0"/>
                <w:sz w:val="14"/>
              </w:rPr>
              <w:t>Loaded €55–75k/yr each; 2–4 years</w:t>
            </w:r>
          </w:p>
        </w:tc>
      </w:tr>
      <w:tr>
        <w:trPr>
          <w:cantSplit/>
        </w:trPr>
        <w:tc>
          <w:tcPr>
            <w:tcW w:type="dxa" w:w="3742"/>
          </w:tcPr>
          <w:p>
            <w:pPr>
              <w:spacing w:after="20" w:before="20"/>
            </w:pPr>
            <w:r/>
            <w:r>
              <w:rPr>
                <w:b w:val="0"/>
                <w:sz w:val="14"/>
              </w:rPr>
              <w:t>Doctoral researchers (1 / 2 / 4)</w:t>
            </w:r>
          </w:p>
        </w:tc>
        <w:tc>
          <w:tcPr>
            <w:tcW w:type="dxa" w:w="1077"/>
          </w:tcPr>
          <w:p>
            <w:pPr>
              <w:spacing w:after="20" w:before="20"/>
            </w:pPr>
            <w:r/>
            <w:r>
              <w:rPr>
                <w:b w:val="0"/>
                <w:sz w:val="14"/>
              </w:rPr>
              <w:t>Recurring</w:t>
            </w:r>
          </w:p>
        </w:tc>
        <w:tc>
          <w:tcPr>
            <w:tcW w:type="dxa" w:w="1417"/>
          </w:tcPr>
          <w:p>
            <w:pPr>
              <w:spacing w:after="20" w:before="20"/>
            </w:pPr>
            <w:r/>
            <w:r>
              <w:rPr>
                <w:b w:val="0"/>
                <w:sz w:val="14"/>
              </w:rPr>
              <w:t>€135,000</w:t>
            </w:r>
          </w:p>
        </w:tc>
        <w:tc>
          <w:tcPr>
            <w:tcW w:type="dxa" w:w="3175"/>
          </w:tcPr>
          <w:p>
            <w:pPr>
              <w:spacing w:after="20" w:before="20"/>
            </w:pPr>
            <w:r/>
            <w:r>
              <w:rPr>
                <w:b w:val="0"/>
                <w:sz w:val="14"/>
              </w:rPr>
              <w:t>MSCA-style €45–55k/yr fully loaded</w:t>
            </w:r>
          </w:p>
        </w:tc>
      </w:tr>
      <w:tr>
        <w:trPr>
          <w:cantSplit/>
        </w:trPr>
        <w:tc>
          <w:tcPr>
            <w:tcW w:type="dxa" w:w="3742"/>
            <w:shd w:val="clear" w:fill="EAF4EF"/>
          </w:tcPr>
          <w:p>
            <w:pPr>
              <w:spacing w:after="20" w:before="20"/>
            </w:pPr>
            <w:r/>
            <w:r>
              <w:rPr>
                <w:b w:val="0"/>
                <w:sz w:val="14"/>
              </w:rPr>
              <w:t>Research engineers &amp; data steward (0.5 / 2 / 3.5)</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€105,000</w:t>
            </w:r>
          </w:p>
        </w:tc>
        <w:tc>
          <w:tcPr>
            <w:tcW w:type="dxa" w:w="3175"/>
            <w:shd w:val="clear" w:fill="EAF4EF"/>
          </w:tcPr>
          <w:p>
            <w:pPr>
              <w:spacing w:after="20" w:before="20"/>
            </w:pPr>
            <w:r/>
            <w:r>
              <w:rPr>
                <w:b w:val="0"/>
                <w:sz w:val="14"/>
              </w:rPr>
              <w:t>€70–110/h; includes platform, harnesses, releases</w:t>
            </w:r>
          </w:p>
        </w:tc>
      </w:tr>
      <w:tr>
        <w:trPr>
          <w:cantSplit/>
        </w:trPr>
        <w:tc>
          <w:tcPr>
            <w:tcW w:type="dxa" w:w="3742"/>
          </w:tcPr>
          <w:p>
            <w:pPr>
              <w:spacing w:after="20" w:before="20"/>
            </w:pPr>
            <w:r/>
            <w:r>
              <w:rPr>
                <w:b w:val="0"/>
                <w:sz w:val="14"/>
              </w:rPr>
              <w:t>Statistician &amp; psychometrician (0.2 / 0.5 / 1.0)</w:t>
            </w:r>
          </w:p>
        </w:tc>
        <w:tc>
          <w:tcPr>
            <w:tcW w:type="dxa" w:w="1077"/>
          </w:tcPr>
          <w:p>
            <w:pPr>
              <w:spacing w:after="20" w:before="20"/>
            </w:pPr>
            <w:r/>
            <w:r>
              <w:rPr>
                <w:b w:val="0"/>
                <w:sz w:val="14"/>
              </w:rPr>
              <w:t>Recurring</w:t>
            </w:r>
          </w:p>
        </w:tc>
        <w:tc>
          <w:tcPr>
            <w:tcW w:type="dxa" w:w="1417"/>
          </w:tcPr>
          <w:p>
            <w:pPr>
              <w:spacing w:after="20" w:before="20"/>
            </w:pPr>
            <w:r/>
            <w:r>
              <w:rPr>
                <w:b w:val="0"/>
                <w:sz w:val="14"/>
              </w:rPr>
              <w:t>€55,000</w:t>
            </w:r>
          </w:p>
        </w:tc>
        <w:tc>
          <w:tcPr>
            <w:tcW w:type="dxa" w:w="3175"/>
          </w:tcPr>
          <w:p>
            <w:pPr>
              <w:spacing w:after="20" w:before="20"/>
            </w:pPr>
            <w:r/>
            <w:r>
              <w:rPr>
                <w:b w:val="0"/>
                <w:sz w:val="14"/>
              </w:rPr>
              <w:t>Methodological core; independent of collector</w:t>
            </w:r>
          </w:p>
        </w:tc>
      </w:tr>
      <w:tr>
        <w:trPr>
          <w:cantSplit/>
        </w:trPr>
        <w:tc>
          <w:tcPr>
            <w:tcW w:type="dxa" w:w="3742"/>
            <w:shd w:val="clear" w:fill="EAF4EF"/>
          </w:tcPr>
          <w:p>
            <w:pPr>
              <w:spacing w:after="20" w:before="20"/>
            </w:pPr>
            <w:r/>
            <w:r>
              <w:rPr>
                <w:b w:val="0"/>
                <w:sz w:val="14"/>
              </w:rPr>
              <w:t>Operations, legal, governance &amp; ethics (0.3 / 1.0 / 2.5)</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€60,000</w:t>
            </w:r>
          </w:p>
        </w:tc>
        <w:tc>
          <w:tcPr>
            <w:tcW w:type="dxa" w:w="3175"/>
            <w:shd w:val="clear" w:fill="EAF4EF"/>
          </w:tcPr>
          <w:p>
            <w:pPr>
              <w:spacing w:after="20" w:before="20"/>
            </w:pPr>
            <w:r/>
            <w:r>
              <w:rPr>
                <w:b w:val="0"/>
                <w:sz w:val="14"/>
              </w:rPr>
              <w:t>Includes DPIA, contracts, oversight honoraria</w:t>
            </w:r>
          </w:p>
        </w:tc>
      </w:tr>
      <w:tr>
        <w:trPr>
          <w:cantSplit/>
        </w:trPr>
        <w:tc>
          <w:tcPr>
            <w:tcW w:type="dxa" w:w="3742"/>
          </w:tcPr>
          <w:p>
            <w:pPr>
              <w:spacing w:after="20" w:before="20"/>
            </w:pPr>
            <w:r/>
            <w:r>
              <w:rPr>
                <w:b w:val="0"/>
                <w:sz w:val="14"/>
              </w:rPr>
              <w:t>Model inference &amp; compute (API + cluster share)</w:t>
            </w:r>
          </w:p>
        </w:tc>
        <w:tc>
          <w:tcPr>
            <w:tcW w:type="dxa" w:w="1077"/>
          </w:tcPr>
          <w:p>
            <w:pPr>
              <w:spacing w:after="20" w:before="20"/>
            </w:pPr>
            <w:r/>
            <w:r>
              <w:rPr>
                <w:b w:val="0"/>
                <w:sz w:val="14"/>
              </w:rPr>
              <w:t>Both</w:t>
            </w:r>
          </w:p>
        </w:tc>
        <w:tc>
          <w:tcPr>
            <w:tcW w:type="dxa" w:w="1417"/>
          </w:tcPr>
          <w:p>
            <w:pPr>
              <w:spacing w:after="20" w:before="20"/>
            </w:pPr>
            <w:r/>
            <w:r>
              <w:rPr>
                <w:b w:val="0"/>
                <w:sz w:val="14"/>
              </w:rPr>
              <w:t>€90,000</w:t>
            </w:r>
          </w:p>
        </w:tc>
        <w:tc>
          <w:tcPr>
            <w:tcW w:type="dxa" w:w="3175"/>
          </w:tcPr>
          <w:p>
            <w:pPr>
              <w:spacing w:after="20" w:before="20"/>
            </w:pPr>
            <w:r/>
            <w:r>
              <w:rPr>
                <w:b w:val="0"/>
                <w:sz w:val="14"/>
              </w:rPr>
              <w:t>N≥20 runs/item, 360 items, 6+ families; local controls; 46 differential batteries (the WP3 priority set, not all 90 entries)</w:t>
            </w:r>
          </w:p>
        </w:tc>
      </w:tr>
      <w:tr>
        <w:trPr>
          <w:cantSplit/>
        </w:trPr>
        <w:tc>
          <w:tcPr>
            <w:tcW w:type="dxa" w:w="3742"/>
            <w:shd w:val="clear" w:fill="EAF4EF"/>
          </w:tcPr>
          <w:p>
            <w:pPr>
              <w:spacing w:after="20" w:before="20"/>
            </w:pPr>
            <w:r/>
            <w:r>
              <w:rPr>
                <w:b w:val="0"/>
                <w:sz w:val="14"/>
              </w:rPr>
              <w:t>Annotation &amp; scoring labour (incl. rater teams)</w:t>
            </w:r>
          </w:p>
        </w:tc>
        <w:tc>
          <w:tcPr>
            <w:tcW w:type="dxa" w:w="1077"/>
            <w:shd w:val="clear" w:fill="EAF4EF"/>
          </w:tcPr>
          <w:p>
            <w:pPr>
              <w:spacing w:after="20" w:before="20"/>
            </w:pPr>
            <w:r/>
            <w:r>
              <w:rPr>
                <w:b w:val="0"/>
                <w:sz w:val="14"/>
              </w:rPr>
              <w:t>Both</w:t>
            </w:r>
          </w:p>
        </w:tc>
        <w:tc>
          <w:tcPr>
            <w:tcW w:type="dxa" w:w="1417"/>
            <w:shd w:val="clear" w:fill="EAF4EF"/>
          </w:tcPr>
          <w:p>
            <w:pPr>
              <w:spacing w:after="20" w:before="20"/>
            </w:pPr>
            <w:r/>
            <w:r>
              <w:rPr>
                <w:b w:val="0"/>
                <w:sz w:val="14"/>
              </w:rPr>
              <w:t>€45,000</w:t>
            </w:r>
          </w:p>
        </w:tc>
        <w:tc>
          <w:tcPr>
            <w:tcW w:type="dxa" w:w="3175"/>
            <w:shd w:val="clear" w:fill="EAF4EF"/>
          </w:tcPr>
          <w:p>
            <w:pPr>
              <w:spacing w:after="20" w:before="20"/>
            </w:pPr>
            <w:r/>
            <w:r>
              <w:rPr>
                <w:b w:val="0"/>
                <w:sz w:val="14"/>
              </w:rPr>
              <w:t>Blinded scoring; reliability sample; adjudication; scoped to the 46-entry priority set (COST_BASIS_V11)</w:t>
            </w:r>
          </w:p>
        </w:tc>
      </w:tr>
      <w:tr>
        <w:trPr>
          <w:cantSplit/>
        </w:trPr>
        <w:tc>
          <w:tcPr>
            <w:tcW w:type="dxa" w:w="3742"/>
          </w:tcPr>
          <w:p>
            <w:pPr>
              <w:spacing w:after="20" w:before="20"/>
            </w:pPr>
            <w:r/>
            <w:r>
              <w:rPr>
                <w:b w:val="0"/>
                <w:sz w:val="14"/>
              </w:rPr>
              <w:t>Containment infrastructure (induction lab)</w:t>
            </w:r>
          </w:p>
        </w:tc>
        <w:tc>
          <w:tcPr>
            <w:tcW w:type="dxa" w:w="1077"/>
          </w:tcPr>
          <w:p>
            <w:pPr>
              <w:spacing w:after="20" w:before="20"/>
            </w:pPr>
            <w:r/>
            <w:r>
              <w:rPr>
                <w:b w:val="0"/>
                <w:sz w:val="14"/>
              </w:rPr>
              <w:t>One-time</w:t>
            </w:r>
          </w:p>
        </w:tc>
        <w:tc>
          <w:tcPr>
            <w:tcW w:type="dxa" w:w="1417"/>
          </w:tcPr>
          <w:p>
            <w:pPr>
              <w:spacing w:after="20" w:before="20"/>
            </w:pPr>
            <w:r/>
            <w:r>
              <w:rPr>
                <w:b w:val="0"/>
                <w:sz w:val="14"/>
              </w:rPr>
              <w:t>€25,000</w:t>
            </w:r>
          </w:p>
        </w:tc>
        <w:tc>
          <w:tcPr>
            <w:tcW w:type="dxa" w:w="3175"/>
          </w:tcPr>
          <w:p>
            <w:pPr>
              <w:spacing w:after="20" w:before="20"/>
            </w:pPr>
            <w:r/>
            <w:r>
              <w:rPr>
                <w:b w:val="0"/>
                <w:sz w:val="14"/>
              </w:rPr>
              <w:t>Air-gapped training tier, custody hardware, destruction rig</w:t>
            </w:r>
          </w:p>
        </w:tc>
      </w:tr>
      <w:tr>
        <w:trPr>
          <w:cantSplit/>
        </w:trPr>
        <w:tc>
          <w:tcPr>
            <w:tcW w:type="dxa" w:w="3742"/>
            <w:shd w:val="clear" w:fill="EAF4EF"/>
          </w:tcPr>
          <w:p>
            <w:pPr>
              <w:spacing w:after="20" w:before="20"/>
            </w:pPr>
            <w:r/>
            <w:r>
              <w:rPr>
                <w:b w:val="0"/>
                <w:sz w:val="14"/>
              </w:rPr>
              <w:t>Training-set curation (CFC) &amp; licensing review</w:t>
            </w:r>
          </w:p>
        </w:tc>
        <w:tc>
          <w:tcPr>
            <w:tcW w:type="dxa" w:w="1077"/>
            <w:shd w:val="clear" w:fill="EAF4EF"/>
          </w:tcPr>
          <w:p>
            <w:pPr>
              <w:spacing w:after="20" w:before="20"/>
            </w:pPr>
            <w:r/>
            <w:r>
              <w:rPr>
                <w:b w:val="0"/>
                <w:sz w:val="14"/>
              </w:rPr>
              <w:t>Both</w:t>
            </w:r>
          </w:p>
        </w:tc>
        <w:tc>
          <w:tcPr>
            <w:tcW w:type="dxa" w:w="1417"/>
            <w:shd w:val="clear" w:fill="EAF4EF"/>
          </w:tcPr>
          <w:p>
            <w:pPr>
              <w:spacing w:after="20" w:before="20"/>
            </w:pPr>
            <w:r/>
            <w:r>
              <w:rPr>
                <w:b w:val="0"/>
                <w:sz w:val="14"/>
              </w:rPr>
              <w:t>€20,000</w:t>
            </w:r>
          </w:p>
        </w:tc>
        <w:tc>
          <w:tcPr>
            <w:tcW w:type="dxa" w:w="3175"/>
            <w:shd w:val="clear" w:fill="EAF4EF"/>
          </w:tcPr>
          <w:p>
            <w:pPr>
              <w:spacing w:after="20" w:before="20"/>
            </w:pPr>
            <w:r/>
            <w:r>
              <w:rPr>
                <w:b w:val="0"/>
                <w:sz w:val="14"/>
              </w:rPr>
              <w:t>Licence-clean corpora; data cards; maintenance</w:t>
            </w:r>
          </w:p>
        </w:tc>
      </w:tr>
      <w:tr>
        <w:trPr>
          <w:cantSplit/>
        </w:trPr>
        <w:tc>
          <w:tcPr>
            <w:tcW w:type="dxa" w:w="3742"/>
          </w:tcPr>
          <w:p>
            <w:pPr>
              <w:spacing w:after="20" w:before="20"/>
            </w:pPr>
            <w:r/>
            <w:r>
              <w:rPr>
                <w:b w:val="0"/>
                <w:sz w:val="14"/>
              </w:rPr>
              <w:t>Independent review, audits &amp; certification pilot</w:t>
            </w:r>
          </w:p>
        </w:tc>
        <w:tc>
          <w:tcPr>
            <w:tcW w:type="dxa" w:w="1077"/>
          </w:tcPr>
          <w:p>
            <w:pPr>
              <w:spacing w:after="20" w:before="20"/>
            </w:pPr>
            <w:r/>
            <w:r>
              <w:rPr>
                <w:b w:val="0"/>
                <w:sz w:val="14"/>
              </w:rPr>
              <w:t>Both</w:t>
            </w:r>
          </w:p>
        </w:tc>
        <w:tc>
          <w:tcPr>
            <w:tcW w:type="dxa" w:w="1417"/>
          </w:tcPr>
          <w:p>
            <w:pPr>
              <w:spacing w:after="20" w:before="20"/>
            </w:pPr>
            <w:r/>
            <w:r>
              <w:rPr>
                <w:b w:val="0"/>
                <w:sz w:val="14"/>
              </w:rPr>
              <w:t>€40,000</w:t>
            </w:r>
          </w:p>
        </w:tc>
        <w:tc>
          <w:tcPr>
            <w:tcW w:type="dxa" w:w="3175"/>
          </w:tcPr>
          <w:p>
            <w:pPr>
              <w:spacing w:after="20" w:before="20"/>
            </w:pPr>
            <w:r/>
            <w:r>
              <w:rPr>
                <w:b w:val="0"/>
                <w:sz w:val="14"/>
              </w:rPr>
              <w:t>Containment audits, standards legal review, accreditation consultant</w:t>
            </w:r>
          </w:p>
        </w:tc>
      </w:tr>
      <w:tr>
        <w:trPr>
          <w:cantSplit/>
        </w:trPr>
        <w:tc>
          <w:tcPr>
            <w:tcW w:type="dxa" w:w="3742"/>
            <w:shd w:val="clear" w:fill="EAF4EF"/>
          </w:tcPr>
          <w:p>
            <w:pPr>
              <w:spacing w:after="20" w:before="20"/>
            </w:pPr>
            <w:r/>
            <w:r>
              <w:rPr>
                <w:b w:val="0"/>
                <w:sz w:val="14"/>
              </w:rPr>
              <w:t>External panels &amp; expert elicitation</w:t>
            </w:r>
          </w:p>
        </w:tc>
        <w:tc>
          <w:tcPr>
            <w:tcW w:type="dxa" w:w="1077"/>
            <w:shd w:val="clear" w:fill="EAF4EF"/>
          </w:tcPr>
          <w:p>
            <w:pPr>
              <w:spacing w:after="20" w:before="20"/>
            </w:pPr>
            <w:r/>
            <w:r>
              <w:rPr>
                <w:b w:val="0"/>
                <w:sz w:val="14"/>
              </w:rPr>
              <w:t>One-time</w:t>
            </w:r>
          </w:p>
        </w:tc>
        <w:tc>
          <w:tcPr>
            <w:tcW w:type="dxa" w:w="1417"/>
            <w:shd w:val="clear" w:fill="EAF4EF"/>
          </w:tcPr>
          <w:p>
            <w:pPr>
              <w:spacing w:after="20" w:before="20"/>
            </w:pPr>
            <w:r/>
            <w:r>
              <w:rPr>
                <w:b w:val="0"/>
                <w:sz w:val="14"/>
              </w:rPr>
              <w:t>€15,000</w:t>
            </w:r>
          </w:p>
        </w:tc>
        <w:tc>
          <w:tcPr>
            <w:tcW w:type="dxa" w:w="3175"/>
            <w:shd w:val="clear" w:fill="EAF4EF"/>
          </w:tcPr>
          <w:p>
            <w:pPr>
              <w:spacing w:after="20" w:before="20"/>
            </w:pPr>
            <w:r/>
            <w:r>
              <w:rPr>
                <w:b w:val="0"/>
                <w:sz w:val="14"/>
              </w:rPr>
              <w:t>Delphi panels per axis; trait adjudication</w:t>
            </w:r>
          </w:p>
        </w:tc>
      </w:tr>
      <w:tr>
        <w:trPr>
          <w:cantSplit/>
        </w:trPr>
        <w:tc>
          <w:tcPr>
            <w:tcW w:type="dxa" w:w="3742"/>
          </w:tcPr>
          <w:p>
            <w:pPr>
              <w:spacing w:after="20" w:before="20"/>
            </w:pPr>
            <w:r/>
            <w:r>
              <w:rPr>
                <w:b w:val="0"/>
                <w:sz w:val="14"/>
              </w:rPr>
              <w:t>Travel, workshops &amp; conferences</w:t>
            </w:r>
          </w:p>
        </w:tc>
        <w:tc>
          <w:tcPr>
            <w:tcW w:type="dxa" w:w="1077"/>
          </w:tcPr>
          <w:p>
            <w:pPr>
              <w:spacing w:after="20" w:before="20"/>
            </w:pPr>
            <w:r/>
            <w:r>
              <w:rPr>
                <w:b w:val="0"/>
                <w:sz w:val="14"/>
              </w:rPr>
              <w:t>Recurring</w:t>
            </w:r>
          </w:p>
        </w:tc>
        <w:tc>
          <w:tcPr>
            <w:tcW w:type="dxa" w:w="1417"/>
          </w:tcPr>
          <w:p>
            <w:pPr>
              <w:spacing w:after="20" w:before="20"/>
            </w:pPr>
            <w:r/>
            <w:r>
              <w:rPr>
                <w:b w:val="0"/>
                <w:sz w:val="14"/>
              </w:rPr>
              <w:t>€25,000</w:t>
            </w:r>
          </w:p>
        </w:tc>
        <w:tc>
          <w:tcPr>
            <w:tcW w:type="dxa" w:w="3175"/>
          </w:tcPr>
          <w:p>
            <w:pPr>
              <w:spacing w:after="20" w:before="20"/>
            </w:pPr>
            <w:r/>
            <w:r>
              <w:rPr>
                <w:b w:val="0"/>
                <w:sz w:val="14"/>
              </w:rPr>
              <w:t>Two consortia meetings/yr; conference cycles</w:t>
            </w:r>
          </w:p>
        </w:tc>
      </w:tr>
      <w:tr>
        <w:trPr>
          <w:cantSplit/>
        </w:trPr>
        <w:tc>
          <w:tcPr>
            <w:tcW w:type="dxa" w:w="3742"/>
            <w:shd w:val="clear" w:fill="EAF4EF"/>
          </w:tcPr>
          <w:p>
            <w:pPr>
              <w:spacing w:after="20" w:before="20"/>
            </w:pPr>
            <w:r/>
            <w:r>
              <w:rPr>
                <w:b w:val="0"/>
                <w:sz w:val="14"/>
              </w:rPr>
              <w:t>Publication (open access) &amp; data hosting</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€15,000</w:t>
            </w:r>
          </w:p>
        </w:tc>
        <w:tc>
          <w:tcPr>
            <w:tcW w:type="dxa" w:w="3175"/>
            <w:shd w:val="clear" w:fill="EAF4EF"/>
          </w:tcPr>
          <w:p>
            <w:pPr>
              <w:spacing w:after="20" w:before="20"/>
            </w:pPr>
            <w:r/>
            <w:r>
              <w:rPr>
                <w:b w:val="0"/>
                <w:sz w:val="14"/>
              </w:rPr>
              <w:t>OA fees, archives, documentation</w:t>
            </w:r>
          </w:p>
        </w:tc>
      </w:tr>
      <w:tr>
        <w:trPr>
          <w:cantSplit/>
        </w:trPr>
        <w:tc>
          <w:tcPr>
            <w:tcW w:type="dxa" w:w="3742"/>
          </w:tcPr>
          <w:p>
            <w:pPr>
              <w:spacing w:after="20" w:before="20"/>
            </w:pPr>
            <w:r/>
            <w:r>
              <w:rPr>
                <w:b w:val="0"/>
                <w:sz w:val="14"/>
              </w:rPr>
              <w:t>Equipment, licences &amp; consumables</w:t>
            </w:r>
          </w:p>
        </w:tc>
        <w:tc>
          <w:tcPr>
            <w:tcW w:type="dxa" w:w="1077"/>
          </w:tcPr>
          <w:p>
            <w:pPr>
              <w:spacing w:after="20" w:before="20"/>
            </w:pPr>
            <w:r/>
            <w:r>
              <w:rPr>
                <w:b w:val="0"/>
                <w:sz w:val="14"/>
              </w:rPr>
              <w:t>Both</w:t>
            </w:r>
          </w:p>
        </w:tc>
        <w:tc>
          <w:tcPr>
            <w:tcW w:type="dxa" w:w="1417"/>
          </w:tcPr>
          <w:p>
            <w:pPr>
              <w:spacing w:after="20" w:before="20"/>
            </w:pPr>
            <w:r/>
            <w:r>
              <w:rPr>
                <w:b w:val="0"/>
                <w:sz w:val="14"/>
              </w:rPr>
              <w:t>€12,000</w:t>
            </w:r>
          </w:p>
        </w:tc>
        <w:tc>
          <w:tcPr>
            <w:tcW w:type="dxa" w:w="3175"/>
          </w:tcPr>
          <w:p>
            <w:pPr>
              <w:spacing w:after="20" w:before="20"/>
            </w:pPr>
            <w:r/>
            <w:r>
              <w:rPr>
                <w:b w:val="0"/>
                <w:sz w:val="14"/>
              </w:rPr>
              <w:t>Scoring kit, secure storage, software</w:t>
            </w:r>
          </w:p>
        </w:tc>
      </w:tr>
      <w:tr>
        <w:trPr>
          <w:cantSplit/>
        </w:trPr>
        <w:tc>
          <w:tcPr>
            <w:tcW w:type="dxa" w:w="3742"/>
            <w:shd w:val="clear" w:fill="EAF4EF"/>
          </w:tcPr>
          <w:p>
            <w:pPr>
              <w:spacing w:after="20" w:before="20"/>
            </w:pPr>
            <w:r/>
            <w:r>
              <w:rPr>
                <w:b w:val="0"/>
                <w:sz w:val="14"/>
              </w:rPr>
              <w:t>Training school &amp; community programmes</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€0</w:t>
            </w:r>
          </w:p>
        </w:tc>
        <w:tc>
          <w:tcPr>
            <w:tcW w:type="dxa" w:w="3175"/>
            <w:shd w:val="clear" w:fill="EAF4EF"/>
          </w:tcPr>
          <w:p>
            <w:pPr>
              <w:spacing w:after="20" w:before="20"/>
            </w:pPr>
            <w:r/>
            <w:r>
              <w:rPr>
                <w:b w:val="0"/>
                <w:sz w:val="14"/>
              </w:rPr>
              <w:t>Two editions; auditor pipeline</w:t>
            </w:r>
          </w:p>
        </w:tc>
      </w:tr>
      <w:tr>
        <w:trPr>
          <w:cantSplit/>
        </w:trPr>
        <w:tc>
          <w:tcPr>
            <w:tcW w:type="dxa" w:w="3742"/>
          </w:tcPr>
          <w:p>
            <w:pPr>
              <w:spacing w:after="20" w:before="20"/>
            </w:pPr>
            <w:r/>
            <w:r>
              <w:rPr>
                <w:b w:val="0"/>
                <w:sz w:val="14"/>
              </w:rPr>
              <w:t>Contingency (5 / 10 / 12 %)</w:t>
            </w:r>
          </w:p>
        </w:tc>
        <w:tc>
          <w:tcPr>
            <w:tcW w:type="dxa" w:w="1077"/>
          </w:tcPr>
          <w:p>
            <w:pPr>
              <w:spacing w:after="20" w:before="20"/>
            </w:pPr>
            <w:r/>
            <w:r>
              <w:rPr>
                <w:b w:val="0"/>
                <w:sz w:val="14"/>
              </w:rPr>
              <w:t>Both</w:t>
            </w:r>
          </w:p>
        </w:tc>
        <w:tc>
          <w:tcPr>
            <w:tcW w:type="dxa" w:w="1417"/>
          </w:tcPr>
          <w:p>
            <w:pPr>
              <w:spacing w:after="20" w:before="20"/>
            </w:pPr>
            <w:r/>
            <w:r>
              <w:rPr>
                <w:b w:val="0"/>
                <w:sz w:val="14"/>
              </w:rPr>
              <w:t>€47,500</w:t>
            </w:r>
          </w:p>
        </w:tc>
        <w:tc>
          <w:tcPr>
            <w:tcW w:type="dxa" w:w="3175"/>
          </w:tcPr>
          <w:p>
            <w:pPr>
              <w:spacing w:after="20" w:before="20"/>
            </w:pPr>
            <w:r/>
            <w:r>
              <w:rPr>
                <w:b w:val="0"/>
                <w:sz w:val="14"/>
              </w:rPr>
              <w:t>Applied to the scenario total</w:t>
            </w:r>
          </w:p>
        </w:tc>
      </w:tr>
      <w:tr>
        <w:trPr>
          <w:cantSplit/>
        </w:trPr>
        <w:tc>
          <w:tcPr>
            <w:tcW w:type="dxa" w:w="3742"/>
            <w:shd w:val="clear" w:fill="EAF4EF"/>
          </w:tcPr>
          <w:p>
            <w:pPr>
              <w:spacing w:after="20" w:before="20"/>
            </w:pPr>
            <w:r/>
            <w:r>
              <w:rPr>
                <w:b/>
                <w:sz w:val="14"/>
              </w:rPr>
              <w:t>Total</w:t>
            </w:r>
          </w:p>
        </w:tc>
        <w:tc>
          <w:tcPr>
            <w:tcW w:type="dxa" w:w="1077"/>
            <w:shd w:val="clear" w:fill="EAF4EF"/>
          </w:tcPr>
          <w:p>
            <w:pPr>
              <w:spacing w:after="20" w:before="20"/>
            </w:pPr>
            <w:r/>
            <w:r>
              <w:rPr>
                <w:b w:val="0"/>
                <w:sz w:val="14"/>
              </w:rPr>
            </w:r>
          </w:p>
        </w:tc>
        <w:tc>
          <w:tcPr>
            <w:tcW w:type="dxa" w:w="1417"/>
            <w:shd w:val="clear" w:fill="EAF4EF"/>
          </w:tcPr>
          <w:p>
            <w:pPr>
              <w:spacing w:after="20" w:before="20"/>
            </w:pPr>
            <w:r/>
            <w:r>
              <w:rPr>
                <w:b/>
                <w:sz w:val="14"/>
              </w:rPr>
              <w:t>€1,079,500</w:t>
            </w:r>
          </w:p>
        </w:tc>
        <w:tc>
          <w:tcPr>
            <w:tcW w:type="dxa" w:w="3175"/>
            <w:shd w:val="clear" w:fill="EAF4EF"/>
          </w:tcPr>
          <w:p>
            <w:pPr>
              <w:spacing w:after="20" w:before="20"/>
            </w:pPr>
            <w:r/>
            <w:r>
              <w:rPr>
                <w:b w:val="0"/>
                <w:sz w:val="14"/>
              </w:rPr>
            </w:r>
          </w:p>
        </w:tc>
      </w:tr>
    </w:tbl>
    <w:p>
      <w:pPr>
        <w:spacing w:after="100"/>
      </w:pPr>
      <w:r>
        <w:rPr>
          <w:b w:val="0"/>
          <w:i/>
          <w:sz w:val="16"/>
        </w:rPr>
        <w:t>Table — the Lean cost lines. The Basis column is generated from the shared cost model and describes the cost line rather than the scenario, so it reads the same in 6.3, 6.4, 6.5 and Annex A against values that differ by up to thirteen times. Read it with 5.2, which gives the resource model scenario by scenario: Lean funds no training school, no regulatory pilot, one partner and roughly 200,000 generations against the Core model's 667,920.</w:t>
      </w:r>
    </w:p>
    <w:p>
      <w:pPr>
        <w:pStyle w:val="Heading2"/>
      </w:pPr>
      <w:r>
        <w:t>6.4 Cost lines — Core scenario (recommended)</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3742"/>
            <w:shd w:val="clear" w:fill="0F2622"/>
          </w:tcPr>
          <w:p>
            <w:pPr>
              <w:spacing w:after="20" w:before="20"/>
            </w:pPr>
            <w:r/>
            <w:r>
              <w:rPr>
                <w:b/>
                <w:color w:val="FFFFFF"/>
                <w:sz w:val="14"/>
              </w:rPr>
              <w:t>Cost line</w:t>
            </w:r>
          </w:p>
        </w:tc>
        <w:tc>
          <w:tcPr>
            <w:tcW w:type="dxa" w:w="1077"/>
            <w:shd w:val="clear" w:fill="0F2622"/>
          </w:tcPr>
          <w:p>
            <w:pPr>
              <w:spacing w:after="20" w:before="20"/>
            </w:pPr>
            <w:r/>
            <w:r>
              <w:rPr>
                <w:b/>
                <w:color w:val="FFFFFF"/>
                <w:sz w:val="14"/>
              </w:rPr>
              <w:t>Nature</w:t>
            </w:r>
          </w:p>
        </w:tc>
        <w:tc>
          <w:tcPr>
            <w:tcW w:type="dxa" w:w="1417"/>
            <w:shd w:val="clear" w:fill="0F2622"/>
          </w:tcPr>
          <w:p>
            <w:pPr>
              <w:spacing w:after="20" w:before="20"/>
            </w:pPr>
            <w:r/>
            <w:r>
              <w:rPr>
                <w:b/>
                <w:color w:val="FFFFFF"/>
                <w:sz w:val="14"/>
              </w:rPr>
              <w:t>Planning (€)</w:t>
            </w:r>
          </w:p>
        </w:tc>
        <w:tc>
          <w:tcPr>
            <w:tcW w:type="dxa" w:w="3175"/>
            <w:shd w:val="clear" w:fill="0F2622"/>
          </w:tcPr>
          <w:p>
            <w:pPr>
              <w:spacing w:after="20" w:before="20"/>
            </w:pPr>
            <w:r/>
            <w:r>
              <w:rPr>
                <w:b/>
                <w:color w:val="FFFFFF"/>
                <w:sz w:val="14"/>
              </w:rPr>
              <w:t>Basis</w:t>
            </w:r>
          </w:p>
        </w:tc>
      </w:tr>
      <w:tr>
        <w:trPr>
          <w:cantSplit/>
        </w:trPr>
        <w:tc>
          <w:tcPr>
            <w:tcW w:type="dxa" w:w="3742"/>
          </w:tcPr>
          <w:p>
            <w:pPr>
              <w:spacing w:after="20" w:before="20"/>
            </w:pPr>
            <w:r/>
            <w:r>
              <w:rPr>
                <w:b w:val="0"/>
                <w:sz w:val="14"/>
              </w:rPr>
              <w:t>Principal investigator (0.25 / 0.5 / 1.0 FTE)</w:t>
            </w:r>
          </w:p>
        </w:tc>
        <w:tc>
          <w:tcPr>
            <w:tcW w:type="dxa" w:w="1077"/>
          </w:tcPr>
          <w:p>
            <w:pPr>
              <w:spacing w:after="20" w:before="20"/>
            </w:pPr>
            <w:r/>
            <w:r>
              <w:rPr>
                <w:b w:val="0"/>
                <w:sz w:val="14"/>
              </w:rPr>
              <w:t>Recurring</w:t>
            </w:r>
          </w:p>
        </w:tc>
        <w:tc>
          <w:tcPr>
            <w:tcW w:type="dxa" w:w="1417"/>
          </w:tcPr>
          <w:p>
            <w:pPr>
              <w:spacing w:after="20" w:before="20"/>
            </w:pPr>
            <w:r/>
            <w:r>
              <w:rPr>
                <w:b w:val="0"/>
                <w:sz w:val="14"/>
              </w:rPr>
              <w:t>€340,000</w:t>
            </w:r>
          </w:p>
        </w:tc>
        <w:tc>
          <w:tcPr>
            <w:tcW w:type="dxa" w:w="3175"/>
          </w:tcPr>
          <w:p>
            <w:pPr>
              <w:spacing w:after="20" w:before="20"/>
            </w:pPr>
            <w:r/>
            <w:r>
              <w:rPr>
                <w:b w:val="0"/>
                <w:sz w:val="14"/>
              </w:rPr>
              <w:t>Loaded academic rate €70–90/h; may be contributed by a host institution</w:t>
            </w:r>
          </w:p>
        </w:tc>
      </w:tr>
      <w:tr>
        <w:trPr>
          <w:cantSplit/>
        </w:trPr>
        <w:tc>
          <w:tcPr>
            <w:tcW w:type="dxa" w:w="3742"/>
            <w:shd w:val="clear" w:fill="EAF4EF"/>
          </w:tcPr>
          <w:p>
            <w:pPr>
              <w:spacing w:after="20" w:before="20"/>
            </w:pPr>
            <w:r/>
            <w:r>
              <w:rPr>
                <w:b w:val="0"/>
                <w:sz w:val="14"/>
              </w:rPr>
              <w:t>Postdoctoral researchers (1 / 2 / 3)</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€560,000</w:t>
            </w:r>
          </w:p>
        </w:tc>
        <w:tc>
          <w:tcPr>
            <w:tcW w:type="dxa" w:w="3175"/>
            <w:shd w:val="clear" w:fill="EAF4EF"/>
          </w:tcPr>
          <w:p>
            <w:pPr>
              <w:spacing w:after="20" w:before="20"/>
            </w:pPr>
            <w:r/>
            <w:r>
              <w:rPr>
                <w:b w:val="0"/>
                <w:sz w:val="14"/>
              </w:rPr>
              <w:t>Loaded €55–75k/yr each; 2–4 years</w:t>
            </w:r>
          </w:p>
        </w:tc>
      </w:tr>
      <w:tr>
        <w:trPr>
          <w:cantSplit/>
        </w:trPr>
        <w:tc>
          <w:tcPr>
            <w:tcW w:type="dxa" w:w="3742"/>
          </w:tcPr>
          <w:p>
            <w:pPr>
              <w:spacing w:after="20" w:before="20"/>
            </w:pPr>
            <w:r/>
            <w:r>
              <w:rPr>
                <w:b w:val="0"/>
                <w:sz w:val="14"/>
              </w:rPr>
              <w:t>Doctoral researchers (1 / 2 / 4)</w:t>
            </w:r>
          </w:p>
        </w:tc>
        <w:tc>
          <w:tcPr>
            <w:tcW w:type="dxa" w:w="1077"/>
          </w:tcPr>
          <w:p>
            <w:pPr>
              <w:spacing w:after="20" w:before="20"/>
            </w:pPr>
            <w:r/>
            <w:r>
              <w:rPr>
                <w:b w:val="0"/>
                <w:sz w:val="14"/>
              </w:rPr>
              <w:t>Recurring</w:t>
            </w:r>
          </w:p>
        </w:tc>
        <w:tc>
          <w:tcPr>
            <w:tcW w:type="dxa" w:w="1417"/>
          </w:tcPr>
          <w:p>
            <w:pPr>
              <w:spacing w:after="20" w:before="20"/>
            </w:pPr>
            <w:r/>
            <w:r>
              <w:rPr>
                <w:b w:val="0"/>
                <w:sz w:val="14"/>
              </w:rPr>
              <w:t>€320,000</w:t>
            </w:r>
          </w:p>
        </w:tc>
        <w:tc>
          <w:tcPr>
            <w:tcW w:type="dxa" w:w="3175"/>
          </w:tcPr>
          <w:p>
            <w:pPr>
              <w:spacing w:after="20" w:before="20"/>
            </w:pPr>
            <w:r/>
            <w:r>
              <w:rPr>
                <w:b w:val="0"/>
                <w:sz w:val="14"/>
              </w:rPr>
              <w:t>MSCA-style €45–55k/yr fully loaded</w:t>
            </w:r>
          </w:p>
        </w:tc>
      </w:tr>
      <w:tr>
        <w:trPr>
          <w:cantSplit/>
        </w:trPr>
        <w:tc>
          <w:tcPr>
            <w:tcW w:type="dxa" w:w="3742"/>
            <w:shd w:val="clear" w:fill="EAF4EF"/>
          </w:tcPr>
          <w:p>
            <w:pPr>
              <w:spacing w:after="20" w:before="20"/>
            </w:pPr>
            <w:r/>
            <w:r>
              <w:rPr>
                <w:b w:val="0"/>
                <w:sz w:val="14"/>
              </w:rPr>
              <w:t>Research engineers &amp; data steward (0.5 / 2 / 3.5)</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€480,000</w:t>
            </w:r>
          </w:p>
        </w:tc>
        <w:tc>
          <w:tcPr>
            <w:tcW w:type="dxa" w:w="3175"/>
            <w:shd w:val="clear" w:fill="EAF4EF"/>
          </w:tcPr>
          <w:p>
            <w:pPr>
              <w:spacing w:after="20" w:before="20"/>
            </w:pPr>
            <w:r/>
            <w:r>
              <w:rPr>
                <w:b w:val="0"/>
                <w:sz w:val="14"/>
              </w:rPr>
              <w:t>€70–110/h; includes platform, harnesses, releases</w:t>
            </w:r>
          </w:p>
        </w:tc>
      </w:tr>
      <w:tr>
        <w:trPr>
          <w:cantSplit/>
        </w:trPr>
        <w:tc>
          <w:tcPr>
            <w:tcW w:type="dxa" w:w="3742"/>
          </w:tcPr>
          <w:p>
            <w:pPr>
              <w:spacing w:after="20" w:before="20"/>
            </w:pPr>
            <w:r/>
            <w:r>
              <w:rPr>
                <w:b w:val="0"/>
                <w:sz w:val="14"/>
              </w:rPr>
              <w:t>Statistician &amp; psychometrician (0.2 / 0.5 / 1.0)</w:t>
            </w:r>
          </w:p>
        </w:tc>
        <w:tc>
          <w:tcPr>
            <w:tcW w:type="dxa" w:w="1077"/>
          </w:tcPr>
          <w:p>
            <w:pPr>
              <w:spacing w:after="20" w:before="20"/>
            </w:pPr>
            <w:r/>
            <w:r>
              <w:rPr>
                <w:b w:val="0"/>
                <w:sz w:val="14"/>
              </w:rPr>
              <w:t>Recurring</w:t>
            </w:r>
          </w:p>
        </w:tc>
        <w:tc>
          <w:tcPr>
            <w:tcW w:type="dxa" w:w="1417"/>
          </w:tcPr>
          <w:p>
            <w:pPr>
              <w:spacing w:after="20" w:before="20"/>
            </w:pPr>
            <w:r/>
            <w:r>
              <w:rPr>
                <w:b w:val="0"/>
                <w:sz w:val="14"/>
              </w:rPr>
              <w:t>€180,000</w:t>
            </w:r>
          </w:p>
        </w:tc>
        <w:tc>
          <w:tcPr>
            <w:tcW w:type="dxa" w:w="3175"/>
          </w:tcPr>
          <w:p>
            <w:pPr>
              <w:spacing w:after="20" w:before="20"/>
            </w:pPr>
            <w:r/>
            <w:r>
              <w:rPr>
                <w:b w:val="0"/>
                <w:sz w:val="14"/>
              </w:rPr>
              <w:t>Methodological core; independent of collector</w:t>
            </w:r>
          </w:p>
        </w:tc>
      </w:tr>
      <w:tr>
        <w:trPr>
          <w:cantSplit/>
        </w:trPr>
        <w:tc>
          <w:tcPr>
            <w:tcW w:type="dxa" w:w="3742"/>
            <w:shd w:val="clear" w:fill="EAF4EF"/>
          </w:tcPr>
          <w:p>
            <w:pPr>
              <w:spacing w:after="20" w:before="20"/>
            </w:pPr>
            <w:r/>
            <w:r>
              <w:rPr>
                <w:b w:val="0"/>
                <w:sz w:val="14"/>
              </w:rPr>
              <w:t>Operations, legal, governance &amp; ethics (0.3 / 1.0 / 2.5)</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€300,000</w:t>
            </w:r>
          </w:p>
        </w:tc>
        <w:tc>
          <w:tcPr>
            <w:tcW w:type="dxa" w:w="3175"/>
            <w:shd w:val="clear" w:fill="EAF4EF"/>
          </w:tcPr>
          <w:p>
            <w:pPr>
              <w:spacing w:after="20" w:before="20"/>
            </w:pPr>
            <w:r/>
            <w:r>
              <w:rPr>
                <w:b w:val="0"/>
                <w:sz w:val="14"/>
              </w:rPr>
              <w:t>Includes DPIA, contracts, oversight honoraria</w:t>
            </w:r>
          </w:p>
        </w:tc>
      </w:tr>
      <w:tr>
        <w:trPr>
          <w:cantSplit/>
        </w:trPr>
        <w:tc>
          <w:tcPr>
            <w:tcW w:type="dxa" w:w="3742"/>
          </w:tcPr>
          <w:p>
            <w:pPr>
              <w:spacing w:after="20" w:before="20"/>
            </w:pPr>
            <w:r/>
            <w:r>
              <w:rPr>
                <w:b w:val="0"/>
                <w:sz w:val="14"/>
              </w:rPr>
              <w:t>Model inference &amp; compute (API + cluster share)</w:t>
            </w:r>
          </w:p>
        </w:tc>
        <w:tc>
          <w:tcPr>
            <w:tcW w:type="dxa" w:w="1077"/>
          </w:tcPr>
          <w:p>
            <w:pPr>
              <w:spacing w:after="20" w:before="20"/>
            </w:pPr>
            <w:r/>
            <w:r>
              <w:rPr>
                <w:b w:val="0"/>
                <w:sz w:val="14"/>
              </w:rPr>
              <w:t>Both</w:t>
            </w:r>
          </w:p>
        </w:tc>
        <w:tc>
          <w:tcPr>
            <w:tcW w:type="dxa" w:w="1417"/>
          </w:tcPr>
          <w:p>
            <w:pPr>
              <w:spacing w:after="20" w:before="20"/>
            </w:pPr>
            <w:r/>
            <w:r>
              <w:rPr>
                <w:b w:val="0"/>
                <w:sz w:val="14"/>
              </w:rPr>
              <w:t>€450,000</w:t>
            </w:r>
          </w:p>
        </w:tc>
        <w:tc>
          <w:tcPr>
            <w:tcW w:type="dxa" w:w="3175"/>
          </w:tcPr>
          <w:p>
            <w:pPr>
              <w:spacing w:after="20" w:before="20"/>
            </w:pPr>
            <w:r/>
            <w:r>
              <w:rPr>
                <w:b w:val="0"/>
                <w:sz w:val="14"/>
              </w:rPr>
              <w:t>N≥20 runs/item, 360 items, 6+ families; local controls; 46 differential batteries (the WP3 priority set, not all 90 entries)</w:t>
            </w:r>
          </w:p>
        </w:tc>
      </w:tr>
      <w:tr>
        <w:trPr>
          <w:cantSplit/>
        </w:trPr>
        <w:tc>
          <w:tcPr>
            <w:tcW w:type="dxa" w:w="3742"/>
            <w:shd w:val="clear" w:fill="EAF4EF"/>
          </w:tcPr>
          <w:p>
            <w:pPr>
              <w:spacing w:after="20" w:before="20"/>
            </w:pPr>
            <w:r/>
            <w:r>
              <w:rPr>
                <w:b w:val="0"/>
                <w:sz w:val="14"/>
              </w:rPr>
              <w:t>Annotation &amp; scoring labour (incl. rater teams)</w:t>
            </w:r>
          </w:p>
        </w:tc>
        <w:tc>
          <w:tcPr>
            <w:tcW w:type="dxa" w:w="1077"/>
            <w:shd w:val="clear" w:fill="EAF4EF"/>
          </w:tcPr>
          <w:p>
            <w:pPr>
              <w:spacing w:after="20" w:before="20"/>
            </w:pPr>
            <w:r/>
            <w:r>
              <w:rPr>
                <w:b w:val="0"/>
                <w:sz w:val="14"/>
              </w:rPr>
              <w:t>Both</w:t>
            </w:r>
          </w:p>
        </w:tc>
        <w:tc>
          <w:tcPr>
            <w:tcW w:type="dxa" w:w="1417"/>
            <w:shd w:val="clear" w:fill="EAF4EF"/>
          </w:tcPr>
          <w:p>
            <w:pPr>
              <w:spacing w:after="20" w:before="20"/>
            </w:pPr>
            <w:r/>
            <w:r>
              <w:rPr>
                <w:b w:val="0"/>
                <w:sz w:val="14"/>
              </w:rPr>
              <w:t>€220,000</w:t>
            </w:r>
          </w:p>
        </w:tc>
        <w:tc>
          <w:tcPr>
            <w:tcW w:type="dxa" w:w="3175"/>
            <w:shd w:val="clear" w:fill="EAF4EF"/>
          </w:tcPr>
          <w:p>
            <w:pPr>
              <w:spacing w:after="20" w:before="20"/>
            </w:pPr>
            <w:r/>
            <w:r>
              <w:rPr>
                <w:b w:val="0"/>
                <w:sz w:val="14"/>
              </w:rPr>
              <w:t>Blinded scoring; reliability sample; adjudication; scoped to the 46-entry priority set (COST_BASIS_V11)</w:t>
            </w:r>
          </w:p>
        </w:tc>
      </w:tr>
      <w:tr>
        <w:trPr>
          <w:cantSplit/>
        </w:trPr>
        <w:tc>
          <w:tcPr>
            <w:tcW w:type="dxa" w:w="3742"/>
          </w:tcPr>
          <w:p>
            <w:pPr>
              <w:spacing w:after="20" w:before="20"/>
            </w:pPr>
            <w:r/>
            <w:r>
              <w:rPr>
                <w:b w:val="0"/>
                <w:sz w:val="14"/>
              </w:rPr>
              <w:t>Containment infrastructure (induction lab)</w:t>
            </w:r>
          </w:p>
        </w:tc>
        <w:tc>
          <w:tcPr>
            <w:tcW w:type="dxa" w:w="1077"/>
          </w:tcPr>
          <w:p>
            <w:pPr>
              <w:spacing w:after="20" w:before="20"/>
            </w:pPr>
            <w:r/>
            <w:r>
              <w:rPr>
                <w:b w:val="0"/>
                <w:sz w:val="14"/>
              </w:rPr>
              <w:t>One-time</w:t>
            </w:r>
          </w:p>
        </w:tc>
        <w:tc>
          <w:tcPr>
            <w:tcW w:type="dxa" w:w="1417"/>
          </w:tcPr>
          <w:p>
            <w:pPr>
              <w:spacing w:after="20" w:before="20"/>
            </w:pPr>
            <w:r/>
            <w:r>
              <w:rPr>
                <w:b w:val="0"/>
                <w:sz w:val="14"/>
              </w:rPr>
              <w:t>€120,000</w:t>
            </w:r>
          </w:p>
        </w:tc>
        <w:tc>
          <w:tcPr>
            <w:tcW w:type="dxa" w:w="3175"/>
          </w:tcPr>
          <w:p>
            <w:pPr>
              <w:spacing w:after="20" w:before="20"/>
            </w:pPr>
            <w:r/>
            <w:r>
              <w:rPr>
                <w:b w:val="0"/>
                <w:sz w:val="14"/>
              </w:rPr>
              <w:t>Air-gapped training tier, custody hardware, destruction rig</w:t>
            </w:r>
          </w:p>
        </w:tc>
      </w:tr>
      <w:tr>
        <w:trPr>
          <w:cantSplit/>
        </w:trPr>
        <w:tc>
          <w:tcPr>
            <w:tcW w:type="dxa" w:w="3742"/>
            <w:shd w:val="clear" w:fill="EAF4EF"/>
          </w:tcPr>
          <w:p>
            <w:pPr>
              <w:spacing w:after="20" w:before="20"/>
            </w:pPr>
            <w:r/>
            <w:r>
              <w:rPr>
                <w:b w:val="0"/>
                <w:sz w:val="14"/>
              </w:rPr>
              <w:t>Training-set curation (CFC) &amp; licensing review</w:t>
            </w:r>
          </w:p>
        </w:tc>
        <w:tc>
          <w:tcPr>
            <w:tcW w:type="dxa" w:w="1077"/>
            <w:shd w:val="clear" w:fill="EAF4EF"/>
          </w:tcPr>
          <w:p>
            <w:pPr>
              <w:spacing w:after="20" w:before="20"/>
            </w:pPr>
            <w:r/>
            <w:r>
              <w:rPr>
                <w:b w:val="0"/>
                <w:sz w:val="14"/>
              </w:rPr>
              <w:t>Both</w:t>
            </w:r>
          </w:p>
        </w:tc>
        <w:tc>
          <w:tcPr>
            <w:tcW w:type="dxa" w:w="1417"/>
            <w:shd w:val="clear" w:fill="EAF4EF"/>
          </w:tcPr>
          <w:p>
            <w:pPr>
              <w:spacing w:after="20" w:before="20"/>
            </w:pPr>
            <w:r/>
            <w:r>
              <w:rPr>
                <w:b w:val="0"/>
                <w:sz w:val="14"/>
              </w:rPr>
              <w:t>€90,000</w:t>
            </w:r>
          </w:p>
        </w:tc>
        <w:tc>
          <w:tcPr>
            <w:tcW w:type="dxa" w:w="3175"/>
            <w:shd w:val="clear" w:fill="EAF4EF"/>
          </w:tcPr>
          <w:p>
            <w:pPr>
              <w:spacing w:after="20" w:before="20"/>
            </w:pPr>
            <w:r/>
            <w:r>
              <w:rPr>
                <w:b w:val="0"/>
                <w:sz w:val="14"/>
              </w:rPr>
              <w:t>Licence-clean corpora; data cards; maintenance</w:t>
            </w:r>
          </w:p>
        </w:tc>
      </w:tr>
      <w:tr>
        <w:trPr>
          <w:cantSplit/>
        </w:trPr>
        <w:tc>
          <w:tcPr>
            <w:tcW w:type="dxa" w:w="3742"/>
          </w:tcPr>
          <w:p>
            <w:pPr>
              <w:spacing w:after="20" w:before="20"/>
            </w:pPr>
            <w:r/>
            <w:r>
              <w:rPr>
                <w:b w:val="0"/>
                <w:sz w:val="14"/>
              </w:rPr>
              <w:t>Independent review, audits &amp; certification pilot</w:t>
            </w:r>
          </w:p>
        </w:tc>
        <w:tc>
          <w:tcPr>
            <w:tcW w:type="dxa" w:w="1077"/>
          </w:tcPr>
          <w:p>
            <w:pPr>
              <w:spacing w:after="20" w:before="20"/>
            </w:pPr>
            <w:r/>
            <w:r>
              <w:rPr>
                <w:b w:val="0"/>
                <w:sz w:val="14"/>
              </w:rPr>
              <w:t>Both</w:t>
            </w:r>
          </w:p>
        </w:tc>
        <w:tc>
          <w:tcPr>
            <w:tcW w:type="dxa" w:w="1417"/>
          </w:tcPr>
          <w:p>
            <w:pPr>
              <w:spacing w:after="20" w:before="20"/>
            </w:pPr>
            <w:r/>
            <w:r>
              <w:rPr>
                <w:b w:val="0"/>
                <w:sz w:val="14"/>
              </w:rPr>
              <w:t>€180,000</w:t>
            </w:r>
          </w:p>
        </w:tc>
        <w:tc>
          <w:tcPr>
            <w:tcW w:type="dxa" w:w="3175"/>
          </w:tcPr>
          <w:p>
            <w:pPr>
              <w:spacing w:after="20" w:before="20"/>
            </w:pPr>
            <w:r/>
            <w:r>
              <w:rPr>
                <w:b w:val="0"/>
                <w:sz w:val="14"/>
              </w:rPr>
              <w:t>Containment audits, standards legal review, accreditation consultant</w:t>
            </w:r>
          </w:p>
        </w:tc>
      </w:tr>
      <w:tr>
        <w:trPr>
          <w:cantSplit/>
        </w:trPr>
        <w:tc>
          <w:tcPr>
            <w:tcW w:type="dxa" w:w="3742"/>
            <w:shd w:val="clear" w:fill="EAF4EF"/>
          </w:tcPr>
          <w:p>
            <w:pPr>
              <w:spacing w:after="20" w:before="20"/>
            </w:pPr>
            <w:r/>
            <w:r>
              <w:rPr>
                <w:b w:val="0"/>
                <w:sz w:val="14"/>
              </w:rPr>
              <w:t>External panels &amp; expert elicitation</w:t>
            </w:r>
          </w:p>
        </w:tc>
        <w:tc>
          <w:tcPr>
            <w:tcW w:type="dxa" w:w="1077"/>
            <w:shd w:val="clear" w:fill="EAF4EF"/>
          </w:tcPr>
          <w:p>
            <w:pPr>
              <w:spacing w:after="20" w:before="20"/>
            </w:pPr>
            <w:r/>
            <w:r>
              <w:rPr>
                <w:b w:val="0"/>
                <w:sz w:val="14"/>
              </w:rPr>
              <w:t>One-time</w:t>
            </w:r>
          </w:p>
        </w:tc>
        <w:tc>
          <w:tcPr>
            <w:tcW w:type="dxa" w:w="1417"/>
            <w:shd w:val="clear" w:fill="EAF4EF"/>
          </w:tcPr>
          <w:p>
            <w:pPr>
              <w:spacing w:after="20" w:before="20"/>
            </w:pPr>
            <w:r/>
            <w:r>
              <w:rPr>
                <w:b w:val="0"/>
                <w:sz w:val="14"/>
              </w:rPr>
              <w:t>€65,000</w:t>
            </w:r>
          </w:p>
        </w:tc>
        <w:tc>
          <w:tcPr>
            <w:tcW w:type="dxa" w:w="3175"/>
            <w:shd w:val="clear" w:fill="EAF4EF"/>
          </w:tcPr>
          <w:p>
            <w:pPr>
              <w:spacing w:after="20" w:before="20"/>
            </w:pPr>
            <w:r/>
            <w:r>
              <w:rPr>
                <w:b w:val="0"/>
                <w:sz w:val="14"/>
              </w:rPr>
              <w:t>Delphi panels per axis; trait adjudication</w:t>
            </w:r>
          </w:p>
        </w:tc>
      </w:tr>
      <w:tr>
        <w:trPr>
          <w:cantSplit/>
        </w:trPr>
        <w:tc>
          <w:tcPr>
            <w:tcW w:type="dxa" w:w="3742"/>
          </w:tcPr>
          <w:p>
            <w:pPr>
              <w:spacing w:after="20" w:before="20"/>
            </w:pPr>
            <w:r/>
            <w:r>
              <w:rPr>
                <w:b w:val="0"/>
                <w:sz w:val="14"/>
              </w:rPr>
              <w:t>Travel, workshops &amp; conferences</w:t>
            </w:r>
          </w:p>
        </w:tc>
        <w:tc>
          <w:tcPr>
            <w:tcW w:type="dxa" w:w="1077"/>
          </w:tcPr>
          <w:p>
            <w:pPr>
              <w:spacing w:after="20" w:before="20"/>
            </w:pPr>
            <w:r/>
            <w:r>
              <w:rPr>
                <w:b w:val="0"/>
                <w:sz w:val="14"/>
              </w:rPr>
              <w:t>Recurring</w:t>
            </w:r>
          </w:p>
        </w:tc>
        <w:tc>
          <w:tcPr>
            <w:tcW w:type="dxa" w:w="1417"/>
          </w:tcPr>
          <w:p>
            <w:pPr>
              <w:spacing w:after="20" w:before="20"/>
            </w:pPr>
            <w:r/>
            <w:r>
              <w:rPr>
                <w:b w:val="0"/>
                <w:sz w:val="14"/>
              </w:rPr>
              <w:t>€140,000</w:t>
            </w:r>
          </w:p>
        </w:tc>
        <w:tc>
          <w:tcPr>
            <w:tcW w:type="dxa" w:w="3175"/>
          </w:tcPr>
          <w:p>
            <w:pPr>
              <w:spacing w:after="20" w:before="20"/>
            </w:pPr>
            <w:r/>
            <w:r>
              <w:rPr>
                <w:b w:val="0"/>
                <w:sz w:val="14"/>
              </w:rPr>
              <w:t>Two consortia meetings/yr; conference cycles</w:t>
            </w:r>
          </w:p>
        </w:tc>
      </w:tr>
      <w:tr>
        <w:trPr>
          <w:cantSplit/>
        </w:trPr>
        <w:tc>
          <w:tcPr>
            <w:tcW w:type="dxa" w:w="3742"/>
            <w:shd w:val="clear" w:fill="EAF4EF"/>
          </w:tcPr>
          <w:p>
            <w:pPr>
              <w:spacing w:after="20" w:before="20"/>
            </w:pPr>
            <w:r/>
            <w:r>
              <w:rPr>
                <w:b w:val="0"/>
                <w:sz w:val="14"/>
              </w:rPr>
              <w:t>Publication (open access) &amp; data hosting</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€70,000</w:t>
            </w:r>
          </w:p>
        </w:tc>
        <w:tc>
          <w:tcPr>
            <w:tcW w:type="dxa" w:w="3175"/>
            <w:shd w:val="clear" w:fill="EAF4EF"/>
          </w:tcPr>
          <w:p>
            <w:pPr>
              <w:spacing w:after="20" w:before="20"/>
            </w:pPr>
            <w:r/>
            <w:r>
              <w:rPr>
                <w:b w:val="0"/>
                <w:sz w:val="14"/>
              </w:rPr>
              <w:t>OA fees, archives, documentation</w:t>
            </w:r>
          </w:p>
        </w:tc>
      </w:tr>
      <w:tr>
        <w:trPr>
          <w:cantSplit/>
        </w:trPr>
        <w:tc>
          <w:tcPr>
            <w:tcW w:type="dxa" w:w="3742"/>
          </w:tcPr>
          <w:p>
            <w:pPr>
              <w:spacing w:after="20" w:before="20"/>
            </w:pPr>
            <w:r/>
            <w:r>
              <w:rPr>
                <w:b w:val="0"/>
                <w:sz w:val="14"/>
              </w:rPr>
              <w:t>Equipment, licences &amp; consumables</w:t>
            </w:r>
          </w:p>
        </w:tc>
        <w:tc>
          <w:tcPr>
            <w:tcW w:type="dxa" w:w="1077"/>
          </w:tcPr>
          <w:p>
            <w:pPr>
              <w:spacing w:after="20" w:before="20"/>
            </w:pPr>
            <w:r/>
            <w:r>
              <w:rPr>
                <w:b w:val="0"/>
                <w:sz w:val="14"/>
              </w:rPr>
              <w:t>Both</w:t>
            </w:r>
          </w:p>
        </w:tc>
        <w:tc>
          <w:tcPr>
            <w:tcW w:type="dxa" w:w="1417"/>
          </w:tcPr>
          <w:p>
            <w:pPr>
              <w:spacing w:after="20" w:before="20"/>
            </w:pPr>
            <w:r/>
            <w:r>
              <w:rPr>
                <w:b w:val="0"/>
                <w:sz w:val="14"/>
              </w:rPr>
              <w:t>€55,000</w:t>
            </w:r>
          </w:p>
        </w:tc>
        <w:tc>
          <w:tcPr>
            <w:tcW w:type="dxa" w:w="3175"/>
          </w:tcPr>
          <w:p>
            <w:pPr>
              <w:spacing w:after="20" w:before="20"/>
            </w:pPr>
            <w:r/>
            <w:r>
              <w:rPr>
                <w:b w:val="0"/>
                <w:sz w:val="14"/>
              </w:rPr>
              <w:t>Scoring kit, secure storage, software</w:t>
            </w:r>
          </w:p>
        </w:tc>
      </w:tr>
      <w:tr>
        <w:trPr>
          <w:cantSplit/>
        </w:trPr>
        <w:tc>
          <w:tcPr>
            <w:tcW w:type="dxa" w:w="3742"/>
            <w:shd w:val="clear" w:fill="EAF4EF"/>
          </w:tcPr>
          <w:p>
            <w:pPr>
              <w:spacing w:after="20" w:before="20"/>
            </w:pPr>
            <w:r/>
            <w:r>
              <w:rPr>
                <w:b w:val="0"/>
                <w:sz w:val="14"/>
              </w:rPr>
              <w:t>Training school &amp; community programmes</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€70,000</w:t>
            </w:r>
          </w:p>
        </w:tc>
        <w:tc>
          <w:tcPr>
            <w:tcW w:type="dxa" w:w="3175"/>
            <w:shd w:val="clear" w:fill="EAF4EF"/>
          </w:tcPr>
          <w:p>
            <w:pPr>
              <w:spacing w:after="20" w:before="20"/>
            </w:pPr>
            <w:r/>
            <w:r>
              <w:rPr>
                <w:b w:val="0"/>
                <w:sz w:val="14"/>
              </w:rPr>
              <w:t>Two editions; auditor pipeline</w:t>
            </w:r>
          </w:p>
        </w:tc>
      </w:tr>
      <w:tr>
        <w:trPr>
          <w:cantSplit/>
        </w:trPr>
        <w:tc>
          <w:tcPr>
            <w:tcW w:type="dxa" w:w="3742"/>
          </w:tcPr>
          <w:p>
            <w:pPr>
              <w:spacing w:after="20" w:before="20"/>
            </w:pPr>
            <w:r/>
            <w:r>
              <w:rPr>
                <w:b w:val="0"/>
                <w:sz w:val="14"/>
              </w:rPr>
              <w:t>Contingency (5 / 10 / 12 %)</w:t>
            </w:r>
          </w:p>
        </w:tc>
        <w:tc>
          <w:tcPr>
            <w:tcW w:type="dxa" w:w="1077"/>
          </w:tcPr>
          <w:p>
            <w:pPr>
              <w:spacing w:after="20" w:before="20"/>
            </w:pPr>
            <w:r/>
            <w:r>
              <w:rPr>
                <w:b w:val="0"/>
                <w:sz w:val="14"/>
              </w:rPr>
              <w:t>Both</w:t>
            </w:r>
          </w:p>
        </w:tc>
        <w:tc>
          <w:tcPr>
            <w:tcW w:type="dxa" w:w="1417"/>
          </w:tcPr>
          <w:p>
            <w:pPr>
              <w:spacing w:after="20" w:before="20"/>
            </w:pPr>
            <w:r/>
            <w:r>
              <w:rPr>
                <w:b w:val="0"/>
                <w:sz w:val="14"/>
              </w:rPr>
              <w:t>€320,000</w:t>
            </w:r>
          </w:p>
        </w:tc>
        <w:tc>
          <w:tcPr>
            <w:tcW w:type="dxa" w:w="3175"/>
          </w:tcPr>
          <w:p>
            <w:pPr>
              <w:spacing w:after="20" w:before="20"/>
            </w:pPr>
            <w:r/>
            <w:r>
              <w:rPr>
                <w:b w:val="0"/>
                <w:sz w:val="14"/>
              </w:rPr>
              <w:t>Applied to the scenario total</w:t>
            </w:r>
          </w:p>
        </w:tc>
      </w:tr>
      <w:tr>
        <w:trPr>
          <w:cantSplit/>
        </w:trPr>
        <w:tc>
          <w:tcPr>
            <w:tcW w:type="dxa" w:w="3742"/>
            <w:shd w:val="clear" w:fill="EAF4EF"/>
          </w:tcPr>
          <w:p>
            <w:pPr>
              <w:spacing w:after="20" w:before="20"/>
            </w:pPr>
            <w:r/>
            <w:r>
              <w:rPr>
                <w:b/>
                <w:sz w:val="14"/>
              </w:rPr>
              <w:t>Total</w:t>
            </w:r>
          </w:p>
        </w:tc>
        <w:tc>
          <w:tcPr>
            <w:tcW w:type="dxa" w:w="1077"/>
            <w:shd w:val="clear" w:fill="EAF4EF"/>
          </w:tcPr>
          <w:p>
            <w:pPr>
              <w:spacing w:after="20" w:before="20"/>
            </w:pPr>
            <w:r/>
            <w:r>
              <w:rPr>
                <w:b w:val="0"/>
                <w:sz w:val="14"/>
              </w:rPr>
            </w:r>
          </w:p>
        </w:tc>
        <w:tc>
          <w:tcPr>
            <w:tcW w:type="dxa" w:w="1417"/>
            <w:shd w:val="clear" w:fill="EAF4EF"/>
          </w:tcPr>
          <w:p>
            <w:pPr>
              <w:spacing w:after="20" w:before="20"/>
            </w:pPr>
            <w:r/>
            <w:r>
              <w:rPr>
                <w:b/>
                <w:sz w:val="14"/>
              </w:rPr>
              <w:t>€3,960,000</w:t>
            </w:r>
          </w:p>
        </w:tc>
        <w:tc>
          <w:tcPr>
            <w:tcW w:type="dxa" w:w="3175"/>
            <w:shd w:val="clear" w:fill="EAF4EF"/>
          </w:tcPr>
          <w:p>
            <w:pPr>
              <w:spacing w:after="20" w:before="20"/>
            </w:pPr>
            <w:r/>
            <w:r>
              <w:rPr>
                <w:b w:val="0"/>
                <w:sz w:val="14"/>
              </w:rPr>
            </w:r>
          </w:p>
        </w:tc>
      </w:tr>
    </w:tbl>
    <w:p>
      <w:pPr>
        <w:pStyle w:val="Heading2"/>
      </w:pPr>
      <w:r>
        <w:t>6.5 Cost lines — Full scenario</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3742"/>
            <w:shd w:val="clear" w:fill="0F2622"/>
          </w:tcPr>
          <w:p>
            <w:pPr>
              <w:spacing w:after="20" w:before="20"/>
            </w:pPr>
            <w:r/>
            <w:r>
              <w:rPr>
                <w:b/>
                <w:color w:val="FFFFFF"/>
                <w:sz w:val="14"/>
              </w:rPr>
              <w:t>Cost line</w:t>
            </w:r>
          </w:p>
        </w:tc>
        <w:tc>
          <w:tcPr>
            <w:tcW w:type="dxa" w:w="1077"/>
            <w:shd w:val="clear" w:fill="0F2622"/>
          </w:tcPr>
          <w:p>
            <w:pPr>
              <w:spacing w:after="20" w:before="20"/>
            </w:pPr>
            <w:r/>
            <w:r>
              <w:rPr>
                <w:b/>
                <w:color w:val="FFFFFF"/>
                <w:sz w:val="14"/>
              </w:rPr>
              <w:t>Nature</w:t>
            </w:r>
          </w:p>
        </w:tc>
        <w:tc>
          <w:tcPr>
            <w:tcW w:type="dxa" w:w="1417"/>
            <w:shd w:val="clear" w:fill="0F2622"/>
          </w:tcPr>
          <w:p>
            <w:pPr>
              <w:spacing w:after="20" w:before="20"/>
            </w:pPr>
            <w:r/>
            <w:r>
              <w:rPr>
                <w:b/>
                <w:color w:val="FFFFFF"/>
                <w:sz w:val="14"/>
              </w:rPr>
              <w:t>Planning (€)</w:t>
            </w:r>
          </w:p>
        </w:tc>
        <w:tc>
          <w:tcPr>
            <w:tcW w:type="dxa" w:w="3175"/>
            <w:shd w:val="clear" w:fill="0F2622"/>
          </w:tcPr>
          <w:p>
            <w:pPr>
              <w:spacing w:after="20" w:before="20"/>
            </w:pPr>
            <w:r/>
            <w:r>
              <w:rPr>
                <w:b/>
                <w:color w:val="FFFFFF"/>
                <w:sz w:val="14"/>
              </w:rPr>
              <w:t>Basis</w:t>
            </w:r>
          </w:p>
        </w:tc>
      </w:tr>
      <w:tr>
        <w:trPr>
          <w:cantSplit/>
        </w:trPr>
        <w:tc>
          <w:tcPr>
            <w:tcW w:type="dxa" w:w="3742"/>
          </w:tcPr>
          <w:p>
            <w:pPr>
              <w:spacing w:after="20" w:before="20"/>
            </w:pPr>
            <w:r/>
            <w:r>
              <w:rPr>
                <w:b w:val="0"/>
                <w:sz w:val="14"/>
              </w:rPr>
              <w:t>Principal investigator (0.25 / 0.5 / 1.0 FTE)</w:t>
            </w:r>
          </w:p>
        </w:tc>
        <w:tc>
          <w:tcPr>
            <w:tcW w:type="dxa" w:w="1077"/>
          </w:tcPr>
          <w:p>
            <w:pPr>
              <w:spacing w:after="20" w:before="20"/>
            </w:pPr>
            <w:r/>
            <w:r>
              <w:rPr>
                <w:b w:val="0"/>
                <w:sz w:val="14"/>
              </w:rPr>
              <w:t>Recurring</w:t>
            </w:r>
          </w:p>
        </w:tc>
        <w:tc>
          <w:tcPr>
            <w:tcW w:type="dxa" w:w="1417"/>
          </w:tcPr>
          <w:p>
            <w:pPr>
              <w:spacing w:after="20" w:before="20"/>
            </w:pPr>
            <w:r/>
            <w:r>
              <w:rPr>
                <w:b w:val="0"/>
                <w:sz w:val="14"/>
              </w:rPr>
              <w:t>€720,000</w:t>
            </w:r>
          </w:p>
        </w:tc>
        <w:tc>
          <w:tcPr>
            <w:tcW w:type="dxa" w:w="3175"/>
          </w:tcPr>
          <w:p>
            <w:pPr>
              <w:spacing w:after="20" w:before="20"/>
            </w:pPr>
            <w:r/>
            <w:r>
              <w:rPr>
                <w:b w:val="0"/>
                <w:sz w:val="14"/>
              </w:rPr>
              <w:t>Loaded academic rate €70–90/h; may be contributed by a host institution</w:t>
            </w:r>
          </w:p>
        </w:tc>
      </w:tr>
      <w:tr>
        <w:trPr>
          <w:cantSplit/>
        </w:trPr>
        <w:tc>
          <w:tcPr>
            <w:tcW w:type="dxa" w:w="3742"/>
            <w:shd w:val="clear" w:fill="EAF4EF"/>
          </w:tcPr>
          <w:p>
            <w:pPr>
              <w:spacing w:after="20" w:before="20"/>
            </w:pPr>
            <w:r/>
            <w:r>
              <w:rPr>
                <w:b w:val="0"/>
                <w:sz w:val="14"/>
              </w:rPr>
              <w:t>Postdoctoral researchers (1 / 2 / 3)</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€900,000</w:t>
            </w:r>
          </w:p>
        </w:tc>
        <w:tc>
          <w:tcPr>
            <w:tcW w:type="dxa" w:w="3175"/>
            <w:shd w:val="clear" w:fill="EAF4EF"/>
          </w:tcPr>
          <w:p>
            <w:pPr>
              <w:spacing w:after="20" w:before="20"/>
            </w:pPr>
            <w:r/>
            <w:r>
              <w:rPr>
                <w:b w:val="0"/>
                <w:sz w:val="14"/>
              </w:rPr>
              <w:t>Loaded €55–75k/yr each; 2–4 years</w:t>
            </w:r>
          </w:p>
        </w:tc>
      </w:tr>
      <w:tr>
        <w:trPr>
          <w:cantSplit/>
        </w:trPr>
        <w:tc>
          <w:tcPr>
            <w:tcW w:type="dxa" w:w="3742"/>
          </w:tcPr>
          <w:p>
            <w:pPr>
              <w:spacing w:after="20" w:before="20"/>
            </w:pPr>
            <w:r/>
            <w:r>
              <w:rPr>
                <w:b w:val="0"/>
                <w:sz w:val="14"/>
              </w:rPr>
              <w:t>Doctoral researchers (1 / 2 / 4)</w:t>
            </w:r>
          </w:p>
        </w:tc>
        <w:tc>
          <w:tcPr>
            <w:tcW w:type="dxa" w:w="1077"/>
          </w:tcPr>
          <w:p>
            <w:pPr>
              <w:spacing w:after="20" w:before="20"/>
            </w:pPr>
            <w:r/>
            <w:r>
              <w:rPr>
                <w:b w:val="0"/>
                <w:sz w:val="14"/>
              </w:rPr>
              <w:t>Recurring</w:t>
            </w:r>
          </w:p>
        </w:tc>
        <w:tc>
          <w:tcPr>
            <w:tcW w:type="dxa" w:w="1417"/>
          </w:tcPr>
          <w:p>
            <w:pPr>
              <w:spacing w:after="20" w:before="20"/>
            </w:pPr>
            <w:r/>
            <w:r>
              <w:rPr>
                <w:b w:val="0"/>
                <w:sz w:val="14"/>
              </w:rPr>
              <w:t>€680,000</w:t>
            </w:r>
          </w:p>
        </w:tc>
        <w:tc>
          <w:tcPr>
            <w:tcW w:type="dxa" w:w="3175"/>
          </w:tcPr>
          <w:p>
            <w:pPr>
              <w:spacing w:after="20" w:before="20"/>
            </w:pPr>
            <w:r/>
            <w:r>
              <w:rPr>
                <w:b w:val="0"/>
                <w:sz w:val="14"/>
              </w:rPr>
              <w:t>MSCA-style €45–55k/yr fully loaded</w:t>
            </w:r>
          </w:p>
        </w:tc>
      </w:tr>
      <w:tr>
        <w:trPr>
          <w:cantSplit/>
        </w:trPr>
        <w:tc>
          <w:tcPr>
            <w:tcW w:type="dxa" w:w="3742"/>
            <w:shd w:val="clear" w:fill="EAF4EF"/>
          </w:tcPr>
          <w:p>
            <w:pPr>
              <w:spacing w:after="20" w:before="20"/>
            </w:pPr>
            <w:r/>
            <w:r>
              <w:rPr>
                <w:b w:val="0"/>
                <w:sz w:val="14"/>
              </w:rPr>
              <w:t>Research engineers &amp; data steward (0.5 / 2 / 3.5)</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€900,000</w:t>
            </w:r>
          </w:p>
        </w:tc>
        <w:tc>
          <w:tcPr>
            <w:tcW w:type="dxa" w:w="3175"/>
            <w:shd w:val="clear" w:fill="EAF4EF"/>
          </w:tcPr>
          <w:p>
            <w:pPr>
              <w:spacing w:after="20" w:before="20"/>
            </w:pPr>
            <w:r/>
            <w:r>
              <w:rPr>
                <w:b w:val="0"/>
                <w:sz w:val="14"/>
              </w:rPr>
              <w:t>€70–110/h; includes platform, harnesses, releases</w:t>
            </w:r>
          </w:p>
        </w:tc>
      </w:tr>
      <w:tr>
        <w:trPr>
          <w:cantSplit/>
        </w:trPr>
        <w:tc>
          <w:tcPr>
            <w:tcW w:type="dxa" w:w="3742"/>
          </w:tcPr>
          <w:p>
            <w:pPr>
              <w:spacing w:after="20" w:before="20"/>
            </w:pPr>
            <w:r/>
            <w:r>
              <w:rPr>
                <w:b w:val="0"/>
                <w:sz w:val="14"/>
              </w:rPr>
              <w:t>Statistician &amp; psychometrician (0.2 / 0.5 / 1.0)</w:t>
            </w:r>
          </w:p>
        </w:tc>
        <w:tc>
          <w:tcPr>
            <w:tcW w:type="dxa" w:w="1077"/>
          </w:tcPr>
          <w:p>
            <w:pPr>
              <w:spacing w:after="20" w:before="20"/>
            </w:pPr>
            <w:r/>
            <w:r>
              <w:rPr>
                <w:b w:val="0"/>
                <w:sz w:val="14"/>
              </w:rPr>
              <w:t>Recurring</w:t>
            </w:r>
          </w:p>
        </w:tc>
        <w:tc>
          <w:tcPr>
            <w:tcW w:type="dxa" w:w="1417"/>
          </w:tcPr>
          <w:p>
            <w:pPr>
              <w:spacing w:after="20" w:before="20"/>
            </w:pPr>
            <w:r/>
            <w:r>
              <w:rPr>
                <w:b w:val="0"/>
                <w:sz w:val="14"/>
              </w:rPr>
              <w:t>€400,000</w:t>
            </w:r>
          </w:p>
        </w:tc>
        <w:tc>
          <w:tcPr>
            <w:tcW w:type="dxa" w:w="3175"/>
          </w:tcPr>
          <w:p>
            <w:pPr>
              <w:spacing w:after="20" w:before="20"/>
            </w:pPr>
            <w:r/>
            <w:r>
              <w:rPr>
                <w:b w:val="0"/>
                <w:sz w:val="14"/>
              </w:rPr>
              <w:t>Methodological core; independent of collector</w:t>
            </w:r>
          </w:p>
        </w:tc>
      </w:tr>
      <w:tr>
        <w:trPr>
          <w:cantSplit/>
        </w:trPr>
        <w:tc>
          <w:tcPr>
            <w:tcW w:type="dxa" w:w="3742"/>
            <w:shd w:val="clear" w:fill="EAF4EF"/>
          </w:tcPr>
          <w:p>
            <w:pPr>
              <w:spacing w:after="20" w:before="20"/>
            </w:pPr>
            <w:r/>
            <w:r>
              <w:rPr>
                <w:b w:val="0"/>
                <w:sz w:val="14"/>
              </w:rPr>
              <w:t>Operations, legal, governance &amp; ethics (0.3 / 1.0 / 2.5)</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€800,000</w:t>
            </w:r>
          </w:p>
        </w:tc>
        <w:tc>
          <w:tcPr>
            <w:tcW w:type="dxa" w:w="3175"/>
            <w:shd w:val="clear" w:fill="EAF4EF"/>
          </w:tcPr>
          <w:p>
            <w:pPr>
              <w:spacing w:after="20" w:before="20"/>
            </w:pPr>
            <w:r/>
            <w:r>
              <w:rPr>
                <w:b w:val="0"/>
                <w:sz w:val="14"/>
              </w:rPr>
              <w:t>Includes DPIA, contracts, oversight honoraria</w:t>
            </w:r>
          </w:p>
        </w:tc>
      </w:tr>
      <w:tr>
        <w:trPr>
          <w:cantSplit/>
        </w:trPr>
        <w:tc>
          <w:tcPr>
            <w:tcW w:type="dxa" w:w="3742"/>
          </w:tcPr>
          <w:p>
            <w:pPr>
              <w:spacing w:after="20" w:before="20"/>
            </w:pPr>
            <w:r/>
            <w:r>
              <w:rPr>
                <w:b w:val="0"/>
                <w:sz w:val="14"/>
              </w:rPr>
              <w:t>Model inference &amp; compute (API + cluster share)</w:t>
            </w:r>
          </w:p>
        </w:tc>
        <w:tc>
          <w:tcPr>
            <w:tcW w:type="dxa" w:w="1077"/>
          </w:tcPr>
          <w:p>
            <w:pPr>
              <w:spacing w:after="20" w:before="20"/>
            </w:pPr>
            <w:r/>
            <w:r>
              <w:rPr>
                <w:b w:val="0"/>
                <w:sz w:val="14"/>
              </w:rPr>
              <w:t>Both</w:t>
            </w:r>
          </w:p>
        </w:tc>
        <w:tc>
          <w:tcPr>
            <w:tcW w:type="dxa" w:w="1417"/>
          </w:tcPr>
          <w:p>
            <w:pPr>
              <w:spacing w:after="20" w:before="20"/>
            </w:pPr>
            <w:r/>
            <w:r>
              <w:rPr>
                <w:b w:val="0"/>
                <w:sz w:val="14"/>
              </w:rPr>
              <w:t>€1,200,000</w:t>
            </w:r>
          </w:p>
        </w:tc>
        <w:tc>
          <w:tcPr>
            <w:tcW w:type="dxa" w:w="3175"/>
          </w:tcPr>
          <w:p>
            <w:pPr>
              <w:spacing w:after="20" w:before="20"/>
            </w:pPr>
            <w:r/>
            <w:r>
              <w:rPr>
                <w:b w:val="0"/>
                <w:sz w:val="14"/>
              </w:rPr>
              <w:t>N≥20 runs/item, 360 items, 6+ families; local controls; 46 differential batteries (the WP3 priority set, not all 90 entries)</w:t>
            </w:r>
          </w:p>
        </w:tc>
      </w:tr>
      <w:tr>
        <w:trPr>
          <w:cantSplit/>
        </w:trPr>
        <w:tc>
          <w:tcPr>
            <w:tcW w:type="dxa" w:w="3742"/>
            <w:shd w:val="clear" w:fill="EAF4EF"/>
          </w:tcPr>
          <w:p>
            <w:pPr>
              <w:spacing w:after="20" w:before="20"/>
            </w:pPr>
            <w:r/>
            <w:r>
              <w:rPr>
                <w:b w:val="0"/>
                <w:sz w:val="14"/>
              </w:rPr>
              <w:t>Annotation &amp; scoring labour (incl. rater teams)</w:t>
            </w:r>
          </w:p>
        </w:tc>
        <w:tc>
          <w:tcPr>
            <w:tcW w:type="dxa" w:w="1077"/>
            <w:shd w:val="clear" w:fill="EAF4EF"/>
          </w:tcPr>
          <w:p>
            <w:pPr>
              <w:spacing w:after="20" w:before="20"/>
            </w:pPr>
            <w:r/>
            <w:r>
              <w:rPr>
                <w:b w:val="0"/>
                <w:sz w:val="14"/>
              </w:rPr>
              <w:t>Both</w:t>
            </w:r>
          </w:p>
        </w:tc>
        <w:tc>
          <w:tcPr>
            <w:tcW w:type="dxa" w:w="1417"/>
            <w:shd w:val="clear" w:fill="EAF4EF"/>
          </w:tcPr>
          <w:p>
            <w:pPr>
              <w:spacing w:after="20" w:before="20"/>
            </w:pPr>
            <w:r/>
            <w:r>
              <w:rPr>
                <w:b w:val="0"/>
                <w:sz w:val="14"/>
              </w:rPr>
              <w:t>€540,000</w:t>
            </w:r>
          </w:p>
        </w:tc>
        <w:tc>
          <w:tcPr>
            <w:tcW w:type="dxa" w:w="3175"/>
            <w:shd w:val="clear" w:fill="EAF4EF"/>
          </w:tcPr>
          <w:p>
            <w:pPr>
              <w:spacing w:after="20" w:before="20"/>
            </w:pPr>
            <w:r/>
            <w:r>
              <w:rPr>
                <w:b w:val="0"/>
                <w:sz w:val="14"/>
              </w:rPr>
              <w:t>Blinded scoring; reliability sample; adjudication; scoped to the 46-entry priority set (COST_BASIS_V11)</w:t>
            </w:r>
          </w:p>
        </w:tc>
      </w:tr>
      <w:tr>
        <w:trPr>
          <w:cantSplit/>
        </w:trPr>
        <w:tc>
          <w:tcPr>
            <w:tcW w:type="dxa" w:w="3742"/>
          </w:tcPr>
          <w:p>
            <w:pPr>
              <w:spacing w:after="20" w:before="20"/>
            </w:pPr>
            <w:r/>
            <w:r>
              <w:rPr>
                <w:b w:val="0"/>
                <w:sz w:val="14"/>
              </w:rPr>
              <w:t>Containment infrastructure (induction lab)</w:t>
            </w:r>
          </w:p>
        </w:tc>
        <w:tc>
          <w:tcPr>
            <w:tcW w:type="dxa" w:w="1077"/>
          </w:tcPr>
          <w:p>
            <w:pPr>
              <w:spacing w:after="20" w:before="20"/>
            </w:pPr>
            <w:r/>
            <w:r>
              <w:rPr>
                <w:b w:val="0"/>
                <w:sz w:val="14"/>
              </w:rPr>
              <w:t>One-time</w:t>
            </w:r>
          </w:p>
        </w:tc>
        <w:tc>
          <w:tcPr>
            <w:tcW w:type="dxa" w:w="1417"/>
          </w:tcPr>
          <w:p>
            <w:pPr>
              <w:spacing w:after="20" w:before="20"/>
            </w:pPr>
            <w:r/>
            <w:r>
              <w:rPr>
                <w:b w:val="0"/>
                <w:sz w:val="14"/>
              </w:rPr>
              <w:t>€350,000</w:t>
            </w:r>
          </w:p>
        </w:tc>
        <w:tc>
          <w:tcPr>
            <w:tcW w:type="dxa" w:w="3175"/>
          </w:tcPr>
          <w:p>
            <w:pPr>
              <w:spacing w:after="20" w:before="20"/>
            </w:pPr>
            <w:r/>
            <w:r>
              <w:rPr>
                <w:b w:val="0"/>
                <w:sz w:val="14"/>
              </w:rPr>
              <w:t>Air-gapped training tier, custody hardware, destruction rig</w:t>
            </w:r>
          </w:p>
        </w:tc>
      </w:tr>
      <w:tr>
        <w:trPr>
          <w:cantSplit/>
        </w:trPr>
        <w:tc>
          <w:tcPr>
            <w:tcW w:type="dxa" w:w="3742"/>
            <w:shd w:val="clear" w:fill="EAF4EF"/>
          </w:tcPr>
          <w:p>
            <w:pPr>
              <w:spacing w:after="20" w:before="20"/>
            </w:pPr>
            <w:r/>
            <w:r>
              <w:rPr>
                <w:b w:val="0"/>
                <w:sz w:val="14"/>
              </w:rPr>
              <w:t>Training-set curation (CFC) &amp; licensing review</w:t>
            </w:r>
          </w:p>
        </w:tc>
        <w:tc>
          <w:tcPr>
            <w:tcW w:type="dxa" w:w="1077"/>
            <w:shd w:val="clear" w:fill="EAF4EF"/>
          </w:tcPr>
          <w:p>
            <w:pPr>
              <w:spacing w:after="20" w:before="20"/>
            </w:pPr>
            <w:r/>
            <w:r>
              <w:rPr>
                <w:b w:val="0"/>
                <w:sz w:val="14"/>
              </w:rPr>
              <w:t>Both</w:t>
            </w:r>
          </w:p>
        </w:tc>
        <w:tc>
          <w:tcPr>
            <w:tcW w:type="dxa" w:w="1417"/>
            <w:shd w:val="clear" w:fill="EAF4EF"/>
          </w:tcPr>
          <w:p>
            <w:pPr>
              <w:spacing w:after="20" w:before="20"/>
            </w:pPr>
            <w:r/>
            <w:r>
              <w:rPr>
                <w:b w:val="0"/>
                <w:sz w:val="14"/>
              </w:rPr>
              <w:t>€260,000</w:t>
            </w:r>
          </w:p>
        </w:tc>
        <w:tc>
          <w:tcPr>
            <w:tcW w:type="dxa" w:w="3175"/>
            <w:shd w:val="clear" w:fill="EAF4EF"/>
          </w:tcPr>
          <w:p>
            <w:pPr>
              <w:spacing w:after="20" w:before="20"/>
            </w:pPr>
            <w:r/>
            <w:r>
              <w:rPr>
                <w:b w:val="0"/>
                <w:sz w:val="14"/>
              </w:rPr>
              <w:t>Licence-clean corpora; data cards; maintenance</w:t>
            </w:r>
          </w:p>
        </w:tc>
      </w:tr>
      <w:tr>
        <w:trPr>
          <w:cantSplit/>
        </w:trPr>
        <w:tc>
          <w:tcPr>
            <w:tcW w:type="dxa" w:w="3742"/>
          </w:tcPr>
          <w:p>
            <w:pPr>
              <w:spacing w:after="20" w:before="20"/>
            </w:pPr>
            <w:r/>
            <w:r>
              <w:rPr>
                <w:b w:val="0"/>
                <w:sz w:val="14"/>
              </w:rPr>
              <w:t>Independent review, audits &amp; certification pilot</w:t>
            </w:r>
          </w:p>
        </w:tc>
        <w:tc>
          <w:tcPr>
            <w:tcW w:type="dxa" w:w="1077"/>
          </w:tcPr>
          <w:p>
            <w:pPr>
              <w:spacing w:after="20" w:before="20"/>
            </w:pPr>
            <w:r/>
            <w:r>
              <w:rPr>
                <w:b w:val="0"/>
                <w:sz w:val="14"/>
              </w:rPr>
              <w:t>Both</w:t>
            </w:r>
          </w:p>
        </w:tc>
        <w:tc>
          <w:tcPr>
            <w:tcW w:type="dxa" w:w="1417"/>
          </w:tcPr>
          <w:p>
            <w:pPr>
              <w:spacing w:after="20" w:before="20"/>
            </w:pPr>
            <w:r/>
            <w:r>
              <w:rPr>
                <w:b w:val="0"/>
                <w:sz w:val="14"/>
              </w:rPr>
              <w:t>€520,000</w:t>
            </w:r>
          </w:p>
        </w:tc>
        <w:tc>
          <w:tcPr>
            <w:tcW w:type="dxa" w:w="3175"/>
          </w:tcPr>
          <w:p>
            <w:pPr>
              <w:spacing w:after="20" w:before="20"/>
            </w:pPr>
            <w:r/>
            <w:r>
              <w:rPr>
                <w:b w:val="0"/>
                <w:sz w:val="14"/>
              </w:rPr>
              <w:t>Containment audits, standards legal review, accreditation consultant</w:t>
            </w:r>
          </w:p>
        </w:tc>
      </w:tr>
      <w:tr>
        <w:trPr>
          <w:cantSplit/>
        </w:trPr>
        <w:tc>
          <w:tcPr>
            <w:tcW w:type="dxa" w:w="3742"/>
            <w:shd w:val="clear" w:fill="EAF4EF"/>
          </w:tcPr>
          <w:p>
            <w:pPr>
              <w:spacing w:after="20" w:before="20"/>
            </w:pPr>
            <w:r/>
            <w:r>
              <w:rPr>
                <w:b w:val="0"/>
                <w:sz w:val="14"/>
              </w:rPr>
              <w:t>External panels &amp; expert elicitation</w:t>
            </w:r>
          </w:p>
        </w:tc>
        <w:tc>
          <w:tcPr>
            <w:tcW w:type="dxa" w:w="1077"/>
            <w:shd w:val="clear" w:fill="EAF4EF"/>
          </w:tcPr>
          <w:p>
            <w:pPr>
              <w:spacing w:after="20" w:before="20"/>
            </w:pPr>
            <w:r/>
            <w:r>
              <w:rPr>
                <w:b w:val="0"/>
                <w:sz w:val="14"/>
              </w:rPr>
              <w:t>One-time</w:t>
            </w:r>
          </w:p>
        </w:tc>
        <w:tc>
          <w:tcPr>
            <w:tcW w:type="dxa" w:w="1417"/>
            <w:shd w:val="clear" w:fill="EAF4EF"/>
          </w:tcPr>
          <w:p>
            <w:pPr>
              <w:spacing w:after="20" w:before="20"/>
            </w:pPr>
            <w:r/>
            <w:r>
              <w:rPr>
                <w:b w:val="0"/>
                <w:sz w:val="14"/>
              </w:rPr>
              <w:t>€140,000</w:t>
            </w:r>
          </w:p>
        </w:tc>
        <w:tc>
          <w:tcPr>
            <w:tcW w:type="dxa" w:w="3175"/>
            <w:shd w:val="clear" w:fill="EAF4EF"/>
          </w:tcPr>
          <w:p>
            <w:pPr>
              <w:spacing w:after="20" w:before="20"/>
            </w:pPr>
            <w:r/>
            <w:r>
              <w:rPr>
                <w:b w:val="0"/>
                <w:sz w:val="14"/>
              </w:rPr>
              <w:t>Delphi panels per axis; trait adjudication</w:t>
            </w:r>
          </w:p>
        </w:tc>
      </w:tr>
      <w:tr>
        <w:trPr>
          <w:cantSplit/>
        </w:trPr>
        <w:tc>
          <w:tcPr>
            <w:tcW w:type="dxa" w:w="3742"/>
          </w:tcPr>
          <w:p>
            <w:pPr>
              <w:spacing w:after="20" w:before="20"/>
            </w:pPr>
            <w:r/>
            <w:r>
              <w:rPr>
                <w:b w:val="0"/>
                <w:sz w:val="14"/>
              </w:rPr>
              <w:t>Travel, workshops &amp; conferences</w:t>
            </w:r>
          </w:p>
        </w:tc>
        <w:tc>
          <w:tcPr>
            <w:tcW w:type="dxa" w:w="1077"/>
          </w:tcPr>
          <w:p>
            <w:pPr>
              <w:spacing w:after="20" w:before="20"/>
            </w:pPr>
            <w:r/>
            <w:r>
              <w:rPr>
                <w:b w:val="0"/>
                <w:sz w:val="14"/>
              </w:rPr>
              <w:t>Recurring</w:t>
            </w:r>
          </w:p>
        </w:tc>
        <w:tc>
          <w:tcPr>
            <w:tcW w:type="dxa" w:w="1417"/>
          </w:tcPr>
          <w:p>
            <w:pPr>
              <w:spacing w:after="20" w:before="20"/>
            </w:pPr>
            <w:r/>
            <w:r>
              <w:rPr>
                <w:b w:val="0"/>
                <w:sz w:val="14"/>
              </w:rPr>
              <w:t>€380,000</w:t>
            </w:r>
          </w:p>
        </w:tc>
        <w:tc>
          <w:tcPr>
            <w:tcW w:type="dxa" w:w="3175"/>
          </w:tcPr>
          <w:p>
            <w:pPr>
              <w:spacing w:after="20" w:before="20"/>
            </w:pPr>
            <w:r/>
            <w:r>
              <w:rPr>
                <w:b w:val="0"/>
                <w:sz w:val="14"/>
              </w:rPr>
              <w:t>Two consortia meetings/yr; conference cycles</w:t>
            </w:r>
          </w:p>
        </w:tc>
      </w:tr>
      <w:tr>
        <w:trPr>
          <w:cantSplit/>
        </w:trPr>
        <w:tc>
          <w:tcPr>
            <w:tcW w:type="dxa" w:w="3742"/>
            <w:shd w:val="clear" w:fill="EAF4EF"/>
          </w:tcPr>
          <w:p>
            <w:pPr>
              <w:spacing w:after="20" w:before="20"/>
            </w:pPr>
            <w:r/>
            <w:r>
              <w:rPr>
                <w:b w:val="0"/>
                <w:sz w:val="14"/>
              </w:rPr>
              <w:t>Publication (open access) &amp; data hosting</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€200,000</w:t>
            </w:r>
          </w:p>
        </w:tc>
        <w:tc>
          <w:tcPr>
            <w:tcW w:type="dxa" w:w="3175"/>
            <w:shd w:val="clear" w:fill="EAF4EF"/>
          </w:tcPr>
          <w:p>
            <w:pPr>
              <w:spacing w:after="20" w:before="20"/>
            </w:pPr>
            <w:r/>
            <w:r>
              <w:rPr>
                <w:b w:val="0"/>
                <w:sz w:val="14"/>
              </w:rPr>
              <w:t>OA fees, archives, documentation</w:t>
            </w:r>
          </w:p>
        </w:tc>
      </w:tr>
      <w:tr>
        <w:trPr>
          <w:cantSplit/>
        </w:trPr>
        <w:tc>
          <w:tcPr>
            <w:tcW w:type="dxa" w:w="3742"/>
          </w:tcPr>
          <w:p>
            <w:pPr>
              <w:spacing w:after="20" w:before="20"/>
            </w:pPr>
            <w:r/>
            <w:r>
              <w:rPr>
                <w:b w:val="0"/>
                <w:sz w:val="14"/>
              </w:rPr>
              <w:t>Equipment, licences &amp; consumables</w:t>
            </w:r>
          </w:p>
        </w:tc>
        <w:tc>
          <w:tcPr>
            <w:tcW w:type="dxa" w:w="1077"/>
          </w:tcPr>
          <w:p>
            <w:pPr>
              <w:spacing w:after="20" w:before="20"/>
            </w:pPr>
            <w:r/>
            <w:r>
              <w:rPr>
                <w:b w:val="0"/>
                <w:sz w:val="14"/>
              </w:rPr>
              <w:t>Both</w:t>
            </w:r>
          </w:p>
        </w:tc>
        <w:tc>
          <w:tcPr>
            <w:tcW w:type="dxa" w:w="1417"/>
          </w:tcPr>
          <w:p>
            <w:pPr>
              <w:spacing w:after="20" w:before="20"/>
            </w:pPr>
            <w:r/>
            <w:r>
              <w:rPr>
                <w:b w:val="0"/>
                <w:sz w:val="14"/>
              </w:rPr>
              <w:t>€160,000</w:t>
            </w:r>
          </w:p>
        </w:tc>
        <w:tc>
          <w:tcPr>
            <w:tcW w:type="dxa" w:w="3175"/>
          </w:tcPr>
          <w:p>
            <w:pPr>
              <w:spacing w:after="20" w:before="20"/>
            </w:pPr>
            <w:r/>
            <w:r>
              <w:rPr>
                <w:b w:val="0"/>
                <w:sz w:val="14"/>
              </w:rPr>
              <w:t>Scoring kit, secure storage, software</w:t>
            </w:r>
          </w:p>
        </w:tc>
      </w:tr>
      <w:tr>
        <w:trPr>
          <w:cantSplit/>
        </w:trPr>
        <w:tc>
          <w:tcPr>
            <w:tcW w:type="dxa" w:w="3742"/>
            <w:shd w:val="clear" w:fill="EAF4EF"/>
          </w:tcPr>
          <w:p>
            <w:pPr>
              <w:spacing w:after="20" w:before="20"/>
            </w:pPr>
            <w:r/>
            <w:r>
              <w:rPr>
                <w:b w:val="0"/>
                <w:sz w:val="14"/>
              </w:rPr>
              <w:t>Training school &amp; community programmes</w:t>
            </w:r>
          </w:p>
        </w:tc>
        <w:tc>
          <w:tcPr>
            <w:tcW w:type="dxa" w:w="1077"/>
            <w:shd w:val="clear" w:fill="EAF4EF"/>
          </w:tcPr>
          <w:p>
            <w:pPr>
              <w:spacing w:after="20" w:before="20"/>
            </w:pPr>
            <w:r/>
            <w:r>
              <w:rPr>
                <w:b w:val="0"/>
                <w:sz w:val="14"/>
              </w:rPr>
              <w:t>Recurring</w:t>
            </w:r>
          </w:p>
        </w:tc>
        <w:tc>
          <w:tcPr>
            <w:tcW w:type="dxa" w:w="1417"/>
            <w:shd w:val="clear" w:fill="EAF4EF"/>
          </w:tcPr>
          <w:p>
            <w:pPr>
              <w:spacing w:after="20" w:before="20"/>
            </w:pPr>
            <w:r/>
            <w:r>
              <w:rPr>
                <w:b w:val="0"/>
                <w:sz w:val="14"/>
              </w:rPr>
              <w:t>€180,000</w:t>
            </w:r>
          </w:p>
        </w:tc>
        <w:tc>
          <w:tcPr>
            <w:tcW w:type="dxa" w:w="3175"/>
            <w:shd w:val="clear" w:fill="EAF4EF"/>
          </w:tcPr>
          <w:p>
            <w:pPr>
              <w:spacing w:after="20" w:before="20"/>
            </w:pPr>
            <w:r/>
            <w:r>
              <w:rPr>
                <w:b w:val="0"/>
                <w:sz w:val="14"/>
              </w:rPr>
              <w:t>Two editions; auditor pipeline</w:t>
            </w:r>
          </w:p>
        </w:tc>
      </w:tr>
      <w:tr>
        <w:trPr>
          <w:cantSplit/>
        </w:trPr>
        <w:tc>
          <w:tcPr>
            <w:tcW w:type="dxa" w:w="3742"/>
          </w:tcPr>
          <w:p>
            <w:pPr>
              <w:spacing w:after="20" w:before="20"/>
            </w:pPr>
            <w:r/>
            <w:r>
              <w:rPr>
                <w:b w:val="0"/>
                <w:sz w:val="14"/>
              </w:rPr>
              <w:t>Contingency (5 / 10 / 12 %)</w:t>
            </w:r>
          </w:p>
        </w:tc>
        <w:tc>
          <w:tcPr>
            <w:tcW w:type="dxa" w:w="1077"/>
          </w:tcPr>
          <w:p>
            <w:pPr>
              <w:spacing w:after="20" w:before="20"/>
            </w:pPr>
            <w:r/>
            <w:r>
              <w:rPr>
                <w:b w:val="0"/>
                <w:sz w:val="14"/>
              </w:rPr>
              <w:t>Both</w:t>
            </w:r>
          </w:p>
        </w:tc>
        <w:tc>
          <w:tcPr>
            <w:tcW w:type="dxa" w:w="1417"/>
          </w:tcPr>
          <w:p>
            <w:pPr>
              <w:spacing w:after="20" w:before="20"/>
            </w:pPr>
            <w:r/>
            <w:r>
              <w:rPr>
                <w:b w:val="0"/>
                <w:sz w:val="14"/>
              </w:rPr>
              <w:t>€1,030,000</w:t>
            </w:r>
          </w:p>
        </w:tc>
        <w:tc>
          <w:tcPr>
            <w:tcW w:type="dxa" w:w="3175"/>
          </w:tcPr>
          <w:p>
            <w:pPr>
              <w:spacing w:after="20" w:before="20"/>
            </w:pPr>
            <w:r/>
            <w:r>
              <w:rPr>
                <w:b w:val="0"/>
                <w:sz w:val="14"/>
              </w:rPr>
              <w:t>Applied to the scenario total</w:t>
            </w:r>
          </w:p>
        </w:tc>
      </w:tr>
      <w:tr>
        <w:trPr>
          <w:cantSplit/>
        </w:trPr>
        <w:tc>
          <w:tcPr>
            <w:tcW w:type="dxa" w:w="3742"/>
            <w:shd w:val="clear" w:fill="EAF4EF"/>
          </w:tcPr>
          <w:p>
            <w:pPr>
              <w:spacing w:after="20" w:before="20"/>
            </w:pPr>
            <w:r/>
            <w:r>
              <w:rPr>
                <w:b/>
                <w:sz w:val="14"/>
              </w:rPr>
              <w:t>Total</w:t>
            </w:r>
          </w:p>
        </w:tc>
        <w:tc>
          <w:tcPr>
            <w:tcW w:type="dxa" w:w="1077"/>
            <w:shd w:val="clear" w:fill="EAF4EF"/>
          </w:tcPr>
          <w:p>
            <w:pPr>
              <w:spacing w:after="20" w:before="20"/>
            </w:pPr>
            <w:r/>
            <w:r>
              <w:rPr>
                <w:b w:val="0"/>
                <w:sz w:val="14"/>
              </w:rPr>
            </w:r>
          </w:p>
        </w:tc>
        <w:tc>
          <w:tcPr>
            <w:tcW w:type="dxa" w:w="1417"/>
            <w:shd w:val="clear" w:fill="EAF4EF"/>
          </w:tcPr>
          <w:p>
            <w:pPr>
              <w:spacing w:after="20" w:before="20"/>
            </w:pPr>
            <w:r/>
            <w:r>
              <w:rPr>
                <w:b/>
                <w:sz w:val="14"/>
              </w:rPr>
              <w:t>€9,360,000</w:t>
            </w:r>
          </w:p>
        </w:tc>
        <w:tc>
          <w:tcPr>
            <w:tcW w:type="dxa" w:w="3175"/>
            <w:shd w:val="clear" w:fill="EAF4EF"/>
          </w:tcPr>
          <w:p>
            <w:pPr>
              <w:spacing w:after="20" w:before="20"/>
            </w:pPr>
            <w:r/>
            <w:r>
              <w:rPr>
                <w:b w:val="0"/>
                <w:sz w:val="14"/>
              </w:rPr>
            </w:r>
          </w:p>
        </w:tc>
      </w:tr>
    </w:tbl>
    <w:p>
      <w:pPr>
        <w:pStyle w:val="Heading2"/>
      </w:pPr>
      <w:r>
        <w:t>6.6 Cost by category and structure</w:t>
      </w:r>
    </w:p>
    <w:p>
      <w:pPr>
        <w:spacing w:after="40"/>
        <w:jc w:val="center"/>
      </w:pPr>
      <w:r>
        <w:drawing>
          <wp:inline xmlns:a="http://schemas.openxmlformats.org/drawingml/2006/main" xmlns:pic="http://schemas.openxmlformats.org/drawingml/2006/picture">
            <wp:extent cx="5903999" cy="3667635"/>
            <wp:docPr id="5" name="Picture 5"/>
            <wp:cNvGraphicFramePr>
              <a:graphicFrameLocks noChangeAspect="1"/>
            </wp:cNvGraphicFramePr>
            <a:graphic>
              <a:graphicData uri="http://schemas.openxmlformats.org/drawingml/2006/picture">
                <pic:pic>
                  <pic:nvPicPr>
                    <pic:cNvPr id="0" name="fig12_cost_stack.png"/>
                    <pic:cNvPicPr/>
                  </pic:nvPicPr>
                  <pic:blipFill>
                    <a:blip r:embed="rId17"/>
                    <a:stretch>
                      <a:fillRect/>
                    </a:stretch>
                  </pic:blipFill>
                  <pic:spPr>
                    <a:xfrm>
                      <a:off x="0" y="0"/>
                      <a:ext cx="5903999" cy="3667635"/>
                    </a:xfrm>
                    <a:prstGeom prst="rect"/>
                  </pic:spPr>
                </pic:pic>
              </a:graphicData>
            </a:graphic>
          </wp:inline>
        </w:drawing>
      </w:r>
    </w:p>
    <w:p>
      <w:pPr>
        <w:spacing w:after="140"/>
        <w:jc w:val="center"/>
      </w:pPr>
      <w:r>
        <w:rPr>
          <w:i/>
          <w:color w:val="4E6A63"/>
          <w:sz w:val="16"/>
        </w:rPr>
        <w:t>Figure 4 — Cost by category and scenario. Personnel dominates by design; compute is second and is capped per workstream.</w:t>
      </w:r>
    </w:p>
    <w:p>
      <w:pPr>
        <w:spacing w:after="40"/>
        <w:jc w:val="center"/>
      </w:pPr>
      <w:r>
        <w:drawing>
          <wp:inline xmlns:a="http://schemas.openxmlformats.org/drawingml/2006/main" xmlns:pic="http://schemas.openxmlformats.org/drawingml/2006/picture">
            <wp:extent cx="5903999" cy="2146909"/>
            <wp:docPr id="6" name="Picture 6"/>
            <wp:cNvGraphicFramePr>
              <a:graphicFrameLocks noChangeAspect="1"/>
            </wp:cNvGraphicFramePr>
            <a:graphic>
              <a:graphicData uri="http://schemas.openxmlformats.org/drawingml/2006/picture">
                <pic:pic>
                  <pic:nvPicPr>
                    <pic:cNvPr id="0" name="fig13_cost_split.png"/>
                    <pic:cNvPicPr/>
                  </pic:nvPicPr>
                  <pic:blipFill>
                    <a:blip r:embed="rId18"/>
                    <a:stretch>
                      <a:fillRect/>
                    </a:stretch>
                  </pic:blipFill>
                  <pic:spPr>
                    <a:xfrm>
                      <a:off x="0" y="0"/>
                      <a:ext cx="5903999" cy="2146909"/>
                    </a:xfrm>
                    <a:prstGeom prst="rect"/>
                  </pic:spPr>
                </pic:pic>
              </a:graphicData>
            </a:graphic>
          </wp:inline>
        </w:drawing>
      </w:r>
    </w:p>
    <w:p>
      <w:pPr>
        <w:spacing w:after="140"/>
        <w:jc w:val="center"/>
      </w:pPr>
      <w:r>
        <w:rPr>
          <w:i/>
          <w:color w:val="4E6A63"/>
          <w:sz w:val="16"/>
        </w:rPr>
        <w:t>Figure 5 — One-time versus recurring structure. One-time costs concentrate in containment, panels and curation; everything else recurs, which is why a funding gap in any year is a stop rather than a delay.</w:t>
      </w:r>
    </w:p>
    <w:p>
      <w:pPr>
        <w:pStyle w:val="Heading2"/>
      </w:pPr>
      <w:r>
        <w:t>6.7 Cost by year</w:t>
      </w:r>
    </w:p>
    <w:p>
      <w:pPr>
        <w:pStyle w:val="Heading3"/>
      </w:pPr>
      <w:r>
        <w:t>Lean scenario — cost by year (2027–2029, 3 years)</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247"/>
            <w:shd w:val="clear" w:fill="0F2622"/>
          </w:tcPr>
          <w:p>
            <w:pPr>
              <w:spacing w:after="20" w:before="20"/>
            </w:pPr>
            <w:r/>
            <w:r>
              <w:rPr>
                <w:b/>
                <w:color w:val="FFFFFF"/>
                <w:sz w:val="15"/>
              </w:rPr>
              <w:t>Year</w:t>
            </w:r>
          </w:p>
        </w:tc>
        <w:tc>
          <w:tcPr>
            <w:tcW w:type="dxa" w:w="1701"/>
            <w:shd w:val="clear" w:fill="0F2622"/>
          </w:tcPr>
          <w:p>
            <w:pPr>
              <w:spacing w:after="20" w:before="20"/>
            </w:pPr>
            <w:r/>
            <w:r>
              <w:rPr>
                <w:b/>
                <w:color w:val="FFFFFF"/>
                <w:sz w:val="15"/>
              </w:rPr>
              <w:t>Spend</w:t>
            </w:r>
          </w:p>
        </w:tc>
        <w:tc>
          <w:tcPr>
            <w:tcW w:type="dxa" w:w="1247"/>
            <w:shd w:val="clear" w:fill="0F2622"/>
          </w:tcPr>
          <w:p>
            <w:pPr>
              <w:spacing w:after="20" w:before="20"/>
            </w:pPr>
            <w:r/>
            <w:r>
              <w:rPr>
                <w:b/>
                <w:color w:val="FFFFFF"/>
                <w:sz w:val="15"/>
              </w:rPr>
              <w:t>Share</w:t>
            </w:r>
          </w:p>
        </w:tc>
        <w:tc>
          <w:tcPr>
            <w:tcW w:type="dxa" w:w="2041"/>
            <w:shd w:val="clear" w:fill="0F2622"/>
          </w:tcPr>
          <w:p>
            <w:pPr>
              <w:spacing w:after="20" w:before="20"/>
            </w:pPr>
            <w:r/>
            <w:r>
              <w:rPr>
                <w:b/>
                <w:color w:val="FFFFFF"/>
                <w:sz w:val="15"/>
              </w:rPr>
              <w:t>Cumulative</w:t>
            </w:r>
          </w:p>
        </w:tc>
      </w:tr>
      <w:tr>
        <w:trPr>
          <w:cantSplit/>
        </w:trPr>
        <w:tc>
          <w:tcPr>
            <w:tcW w:type="dxa" w:w="1247"/>
          </w:tcPr>
          <w:p>
            <w:pPr>
              <w:spacing w:after="20" w:before="20"/>
            </w:pPr>
            <w:r/>
            <w:r>
              <w:rPr>
                <w:b w:val="0"/>
                <w:sz w:val="15"/>
              </w:rPr>
              <w:t>2027</w:t>
            </w:r>
          </w:p>
        </w:tc>
        <w:tc>
          <w:tcPr>
            <w:tcW w:type="dxa" w:w="1701"/>
          </w:tcPr>
          <w:p>
            <w:pPr>
              <w:spacing w:after="20" w:before="20"/>
            </w:pPr>
            <w:r/>
            <w:r>
              <w:rPr>
                <w:b w:val="0"/>
                <w:sz w:val="15"/>
              </w:rPr>
              <w:t>€369,266</w:t>
            </w:r>
          </w:p>
        </w:tc>
        <w:tc>
          <w:tcPr>
            <w:tcW w:type="dxa" w:w="1247"/>
          </w:tcPr>
          <w:p>
            <w:pPr>
              <w:spacing w:after="20" w:before="20"/>
            </w:pPr>
            <w:r/>
            <w:r>
              <w:rPr>
                <w:b w:val="0"/>
                <w:sz w:val="15"/>
              </w:rPr>
              <w:t>34%</w:t>
            </w:r>
          </w:p>
        </w:tc>
        <w:tc>
          <w:tcPr>
            <w:tcW w:type="dxa" w:w="2041"/>
          </w:tcPr>
          <w:p>
            <w:pPr>
              <w:spacing w:after="20" w:before="20"/>
            </w:pPr>
            <w:r/>
            <w:r>
              <w:rPr>
                <w:b w:val="0"/>
                <w:sz w:val="15"/>
              </w:rPr>
              <w:t>cumulative €369,266</w:t>
            </w:r>
          </w:p>
        </w:tc>
      </w:tr>
      <w:tr>
        <w:trPr>
          <w:cantSplit/>
        </w:trPr>
        <w:tc>
          <w:tcPr>
            <w:tcW w:type="dxa" w:w="1247"/>
            <w:shd w:val="clear" w:fill="EAF4EF"/>
          </w:tcPr>
          <w:p>
            <w:pPr>
              <w:spacing w:after="20" w:before="20"/>
            </w:pPr>
            <w:r/>
            <w:r>
              <w:rPr>
                <w:b w:val="0"/>
                <w:sz w:val="15"/>
              </w:rPr>
              <w:t>2028</w:t>
            </w:r>
          </w:p>
        </w:tc>
        <w:tc>
          <w:tcPr>
            <w:tcW w:type="dxa" w:w="1701"/>
            <w:shd w:val="clear" w:fill="EAF4EF"/>
          </w:tcPr>
          <w:p>
            <w:pPr>
              <w:spacing w:after="20" w:before="20"/>
            </w:pPr>
            <w:r/>
            <w:r>
              <w:rPr>
                <w:b w:val="0"/>
                <w:sz w:val="15"/>
              </w:rPr>
              <w:t>€367,452</w:t>
            </w:r>
          </w:p>
        </w:tc>
        <w:tc>
          <w:tcPr>
            <w:tcW w:type="dxa" w:w="1247"/>
            <w:shd w:val="clear" w:fill="EAF4EF"/>
          </w:tcPr>
          <w:p>
            <w:pPr>
              <w:spacing w:after="20" w:before="20"/>
            </w:pPr>
            <w:r/>
            <w:r>
              <w:rPr>
                <w:b w:val="0"/>
                <w:sz w:val="15"/>
              </w:rPr>
              <w:t>34%</w:t>
            </w:r>
          </w:p>
        </w:tc>
        <w:tc>
          <w:tcPr>
            <w:tcW w:type="dxa" w:w="2041"/>
            <w:shd w:val="clear" w:fill="EAF4EF"/>
          </w:tcPr>
          <w:p>
            <w:pPr>
              <w:spacing w:after="20" w:before="20"/>
            </w:pPr>
            <w:r/>
            <w:r>
              <w:rPr>
                <w:b w:val="0"/>
                <w:sz w:val="15"/>
              </w:rPr>
              <w:t>cumulative €736,718</w:t>
            </w:r>
          </w:p>
        </w:tc>
      </w:tr>
      <w:tr>
        <w:trPr>
          <w:cantSplit/>
        </w:trPr>
        <w:tc>
          <w:tcPr>
            <w:tcW w:type="dxa" w:w="1247"/>
          </w:tcPr>
          <w:p>
            <w:pPr>
              <w:spacing w:after="20" w:before="20"/>
            </w:pPr>
            <w:r/>
            <w:r>
              <w:rPr>
                <w:b w:val="0"/>
                <w:sz w:val="15"/>
              </w:rPr>
              <w:t>2029</w:t>
            </w:r>
          </w:p>
        </w:tc>
        <w:tc>
          <w:tcPr>
            <w:tcW w:type="dxa" w:w="1701"/>
          </w:tcPr>
          <w:p>
            <w:pPr>
              <w:spacing w:after="20" w:before="20"/>
            </w:pPr>
            <w:r/>
            <w:r>
              <w:rPr>
                <w:b w:val="0"/>
                <w:sz w:val="15"/>
              </w:rPr>
              <w:t>€342,782</w:t>
            </w:r>
          </w:p>
        </w:tc>
        <w:tc>
          <w:tcPr>
            <w:tcW w:type="dxa" w:w="1247"/>
          </w:tcPr>
          <w:p>
            <w:pPr>
              <w:spacing w:after="20" w:before="20"/>
            </w:pPr>
            <w:r/>
            <w:r>
              <w:rPr>
                <w:b w:val="0"/>
                <w:sz w:val="15"/>
              </w:rPr>
              <w:t>32%</w:t>
            </w:r>
          </w:p>
        </w:tc>
        <w:tc>
          <w:tcPr>
            <w:tcW w:type="dxa" w:w="2041"/>
          </w:tcPr>
          <w:p>
            <w:pPr>
              <w:spacing w:after="20" w:before="20"/>
            </w:pPr>
            <w:r/>
            <w:r>
              <w:rPr>
                <w:b w:val="0"/>
                <w:sz w:val="15"/>
              </w:rPr>
              <w:t>cumulative €1,079,500</w:t>
            </w:r>
          </w:p>
        </w:tc>
      </w:tr>
      <w:tr>
        <w:trPr>
          <w:cantSplit/>
        </w:trPr>
        <w:tc>
          <w:tcPr>
            <w:tcW w:type="dxa" w:w="1247"/>
            <w:shd w:val="clear" w:fill="EAF4EF"/>
          </w:tcPr>
          <w:p>
            <w:pPr>
              <w:spacing w:after="20" w:before="20"/>
            </w:pPr>
            <w:r/>
            <w:r>
              <w:rPr>
                <w:b/>
                <w:sz w:val="15"/>
              </w:rPr>
              <w:t>Total</w:t>
            </w:r>
          </w:p>
        </w:tc>
        <w:tc>
          <w:tcPr>
            <w:tcW w:type="dxa" w:w="1701"/>
            <w:shd w:val="clear" w:fill="EAF4EF"/>
          </w:tcPr>
          <w:p>
            <w:pPr>
              <w:spacing w:after="20" w:before="20"/>
            </w:pPr>
            <w:r/>
            <w:r>
              <w:rPr>
                <w:b/>
                <w:sz w:val="15"/>
              </w:rPr>
              <w:t>€1,079,500</w:t>
            </w:r>
          </w:p>
        </w:tc>
        <w:tc>
          <w:tcPr>
            <w:tcW w:type="dxa" w:w="1247"/>
            <w:shd w:val="clear" w:fill="EAF4EF"/>
          </w:tcPr>
          <w:p>
            <w:pPr>
              <w:spacing w:after="20" w:before="20"/>
            </w:pPr>
            <w:r/>
            <w:r>
              <w:rPr>
                <w:b/>
                <w:sz w:val="15"/>
              </w:rPr>
              <w:t>100%</w:t>
            </w:r>
          </w:p>
        </w:tc>
        <w:tc>
          <w:tcPr>
            <w:tcW w:type="dxa" w:w="2041"/>
            <w:shd w:val="clear" w:fill="EAF4EF"/>
          </w:tcPr>
          <w:p>
            <w:pPr>
              <w:spacing w:after="20" w:before="20"/>
            </w:pPr>
            <w:r/>
            <w:r>
              <w:rPr>
                <w:b/>
                <w:sz w:val="15"/>
              </w:rPr>
              <w:t>= the Lean total in 6.1 and Annex A</w:t>
            </w:r>
          </w:p>
        </w:tc>
      </w:tr>
    </w:tbl>
    <w:p>
      <w:pPr>
        <w:pStyle w:val="Heading3"/>
      </w:pPr>
      <w:r>
        <w:t>Core scenario — cost by year (2027–2030, 4 years)</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247"/>
            <w:shd w:val="clear" w:fill="0F2622"/>
          </w:tcPr>
          <w:p>
            <w:pPr>
              <w:spacing w:after="20" w:before="20"/>
            </w:pPr>
            <w:r/>
            <w:r>
              <w:rPr>
                <w:b/>
                <w:color w:val="FFFFFF"/>
                <w:sz w:val="15"/>
              </w:rPr>
              <w:t>Year</w:t>
            </w:r>
          </w:p>
        </w:tc>
        <w:tc>
          <w:tcPr>
            <w:tcW w:type="dxa" w:w="1701"/>
            <w:shd w:val="clear" w:fill="0F2622"/>
          </w:tcPr>
          <w:p>
            <w:pPr>
              <w:spacing w:after="20" w:before="20"/>
            </w:pPr>
            <w:r/>
            <w:r>
              <w:rPr>
                <w:b/>
                <w:color w:val="FFFFFF"/>
                <w:sz w:val="15"/>
              </w:rPr>
              <w:t>Spend</w:t>
            </w:r>
          </w:p>
        </w:tc>
        <w:tc>
          <w:tcPr>
            <w:tcW w:type="dxa" w:w="1247"/>
            <w:shd w:val="clear" w:fill="0F2622"/>
          </w:tcPr>
          <w:p>
            <w:pPr>
              <w:spacing w:after="20" w:before="20"/>
            </w:pPr>
            <w:r/>
            <w:r>
              <w:rPr>
                <w:b/>
                <w:color w:val="FFFFFF"/>
                <w:sz w:val="15"/>
              </w:rPr>
              <w:t>Share</w:t>
            </w:r>
          </w:p>
        </w:tc>
        <w:tc>
          <w:tcPr>
            <w:tcW w:type="dxa" w:w="2041"/>
            <w:shd w:val="clear" w:fill="0F2622"/>
          </w:tcPr>
          <w:p>
            <w:pPr>
              <w:spacing w:after="20" w:before="20"/>
            </w:pPr>
            <w:r/>
            <w:r>
              <w:rPr>
                <w:b/>
                <w:color w:val="FFFFFF"/>
                <w:sz w:val="15"/>
              </w:rPr>
              <w:t>Cumulative</w:t>
            </w:r>
          </w:p>
        </w:tc>
      </w:tr>
      <w:tr>
        <w:trPr>
          <w:cantSplit/>
        </w:trPr>
        <w:tc>
          <w:tcPr>
            <w:tcW w:type="dxa" w:w="1247"/>
          </w:tcPr>
          <w:p>
            <w:pPr>
              <w:spacing w:after="20" w:before="20"/>
            </w:pPr>
            <w:r/>
            <w:r>
              <w:rPr>
                <w:b w:val="0"/>
                <w:sz w:val="15"/>
              </w:rPr>
              <w:t>2027</w:t>
            </w:r>
          </w:p>
        </w:tc>
        <w:tc>
          <w:tcPr>
            <w:tcW w:type="dxa" w:w="1701"/>
          </w:tcPr>
          <w:p>
            <w:pPr>
              <w:spacing w:after="20" w:before="20"/>
            </w:pPr>
            <w:r/>
            <w:r>
              <w:rPr>
                <w:b w:val="0"/>
                <w:sz w:val="15"/>
              </w:rPr>
              <w:t>€1,073,936</w:t>
            </w:r>
          </w:p>
        </w:tc>
        <w:tc>
          <w:tcPr>
            <w:tcW w:type="dxa" w:w="1247"/>
          </w:tcPr>
          <w:p>
            <w:pPr>
              <w:spacing w:after="20" w:before="20"/>
            </w:pPr>
            <w:r/>
            <w:r>
              <w:rPr>
                <w:b w:val="0"/>
                <w:sz w:val="15"/>
              </w:rPr>
              <w:t>27%</w:t>
            </w:r>
          </w:p>
        </w:tc>
        <w:tc>
          <w:tcPr>
            <w:tcW w:type="dxa" w:w="2041"/>
          </w:tcPr>
          <w:p>
            <w:pPr>
              <w:spacing w:after="20" w:before="20"/>
            </w:pPr>
            <w:r/>
            <w:r>
              <w:rPr>
                <w:b w:val="0"/>
                <w:sz w:val="15"/>
              </w:rPr>
              <w:t>cumulative €1,073,936</w:t>
            </w:r>
          </w:p>
        </w:tc>
      </w:tr>
      <w:tr>
        <w:trPr>
          <w:cantSplit/>
        </w:trPr>
        <w:tc>
          <w:tcPr>
            <w:tcW w:type="dxa" w:w="1247"/>
            <w:shd w:val="clear" w:fill="EAF4EF"/>
          </w:tcPr>
          <w:p>
            <w:pPr>
              <w:spacing w:after="20" w:before="20"/>
            </w:pPr>
            <w:r/>
            <w:r>
              <w:rPr>
                <w:b w:val="0"/>
                <w:sz w:val="15"/>
              </w:rPr>
              <w:t>2028</w:t>
            </w:r>
          </w:p>
        </w:tc>
        <w:tc>
          <w:tcPr>
            <w:tcW w:type="dxa" w:w="1701"/>
            <w:shd w:val="clear" w:fill="EAF4EF"/>
          </w:tcPr>
          <w:p>
            <w:pPr>
              <w:spacing w:after="20" w:before="20"/>
            </w:pPr>
            <w:r/>
            <w:r>
              <w:rPr>
                <w:b w:val="0"/>
                <w:sz w:val="15"/>
              </w:rPr>
              <w:t>€1,055,955</w:t>
            </w:r>
          </w:p>
        </w:tc>
        <w:tc>
          <w:tcPr>
            <w:tcW w:type="dxa" w:w="1247"/>
            <w:shd w:val="clear" w:fill="EAF4EF"/>
          </w:tcPr>
          <w:p>
            <w:pPr>
              <w:spacing w:after="20" w:before="20"/>
            </w:pPr>
            <w:r/>
            <w:r>
              <w:rPr>
                <w:b w:val="0"/>
                <w:sz w:val="15"/>
              </w:rPr>
              <w:t>27%</w:t>
            </w:r>
          </w:p>
        </w:tc>
        <w:tc>
          <w:tcPr>
            <w:tcW w:type="dxa" w:w="2041"/>
            <w:shd w:val="clear" w:fill="EAF4EF"/>
          </w:tcPr>
          <w:p>
            <w:pPr>
              <w:spacing w:after="20" w:before="20"/>
            </w:pPr>
            <w:r/>
            <w:r>
              <w:rPr>
                <w:b w:val="0"/>
                <w:sz w:val="15"/>
              </w:rPr>
              <w:t>cumulative €2,129,891</w:t>
            </w:r>
          </w:p>
        </w:tc>
      </w:tr>
      <w:tr>
        <w:trPr>
          <w:cantSplit/>
        </w:trPr>
        <w:tc>
          <w:tcPr>
            <w:tcW w:type="dxa" w:w="1247"/>
          </w:tcPr>
          <w:p>
            <w:pPr>
              <w:spacing w:after="20" w:before="20"/>
            </w:pPr>
            <w:r/>
            <w:r>
              <w:rPr>
                <w:b w:val="0"/>
                <w:sz w:val="15"/>
              </w:rPr>
              <w:t>2029</w:t>
            </w:r>
          </w:p>
        </w:tc>
        <w:tc>
          <w:tcPr>
            <w:tcW w:type="dxa" w:w="1701"/>
          </w:tcPr>
          <w:p>
            <w:pPr>
              <w:spacing w:after="20" w:before="20"/>
            </w:pPr>
            <w:r/>
            <w:r>
              <w:rPr>
                <w:b w:val="0"/>
                <w:sz w:val="15"/>
              </w:rPr>
              <w:t>€936,902</w:t>
            </w:r>
          </w:p>
        </w:tc>
        <w:tc>
          <w:tcPr>
            <w:tcW w:type="dxa" w:w="1247"/>
          </w:tcPr>
          <w:p>
            <w:pPr>
              <w:spacing w:after="20" w:before="20"/>
            </w:pPr>
            <w:r/>
            <w:r>
              <w:rPr>
                <w:b w:val="0"/>
                <w:sz w:val="15"/>
              </w:rPr>
              <w:t>24%</w:t>
            </w:r>
          </w:p>
        </w:tc>
        <w:tc>
          <w:tcPr>
            <w:tcW w:type="dxa" w:w="2041"/>
          </w:tcPr>
          <w:p>
            <w:pPr>
              <w:spacing w:after="20" w:before="20"/>
            </w:pPr>
            <w:r/>
            <w:r>
              <w:rPr>
                <w:b w:val="0"/>
                <w:sz w:val="15"/>
              </w:rPr>
              <w:t>cumulative €3,066,793</w:t>
            </w:r>
          </w:p>
        </w:tc>
      </w:tr>
      <w:tr>
        <w:trPr>
          <w:cantSplit/>
        </w:trPr>
        <w:tc>
          <w:tcPr>
            <w:tcW w:type="dxa" w:w="1247"/>
            <w:shd w:val="clear" w:fill="EAF4EF"/>
          </w:tcPr>
          <w:p>
            <w:pPr>
              <w:spacing w:after="20" w:before="20"/>
            </w:pPr>
            <w:r/>
            <w:r>
              <w:rPr>
                <w:b w:val="0"/>
                <w:sz w:val="15"/>
              </w:rPr>
              <w:t>2030</w:t>
            </w:r>
          </w:p>
        </w:tc>
        <w:tc>
          <w:tcPr>
            <w:tcW w:type="dxa" w:w="1701"/>
            <w:shd w:val="clear" w:fill="EAF4EF"/>
          </w:tcPr>
          <w:p>
            <w:pPr>
              <w:spacing w:after="20" w:before="20"/>
            </w:pPr>
            <w:r/>
            <w:r>
              <w:rPr>
                <w:b w:val="0"/>
                <w:sz w:val="15"/>
              </w:rPr>
              <w:t>€893,207</w:t>
            </w:r>
          </w:p>
        </w:tc>
        <w:tc>
          <w:tcPr>
            <w:tcW w:type="dxa" w:w="1247"/>
            <w:shd w:val="clear" w:fill="EAF4EF"/>
          </w:tcPr>
          <w:p>
            <w:pPr>
              <w:spacing w:after="20" w:before="20"/>
            </w:pPr>
            <w:r/>
            <w:r>
              <w:rPr>
                <w:b w:val="0"/>
                <w:sz w:val="15"/>
              </w:rPr>
              <w:t>22%</w:t>
            </w:r>
          </w:p>
        </w:tc>
        <w:tc>
          <w:tcPr>
            <w:tcW w:type="dxa" w:w="2041"/>
            <w:shd w:val="clear" w:fill="EAF4EF"/>
          </w:tcPr>
          <w:p>
            <w:pPr>
              <w:spacing w:after="20" w:before="20"/>
            </w:pPr>
            <w:r/>
            <w:r>
              <w:rPr>
                <w:b w:val="0"/>
                <w:sz w:val="15"/>
              </w:rPr>
              <w:t>cumulative €3,960,000</w:t>
            </w:r>
          </w:p>
        </w:tc>
      </w:tr>
      <w:tr>
        <w:trPr>
          <w:cantSplit/>
        </w:trPr>
        <w:tc>
          <w:tcPr>
            <w:tcW w:type="dxa" w:w="1247"/>
          </w:tcPr>
          <w:p>
            <w:pPr>
              <w:spacing w:after="20" w:before="20"/>
            </w:pPr>
            <w:r/>
            <w:r>
              <w:rPr>
                <w:b/>
                <w:sz w:val="15"/>
              </w:rPr>
              <w:t>Total</w:t>
            </w:r>
          </w:p>
        </w:tc>
        <w:tc>
          <w:tcPr>
            <w:tcW w:type="dxa" w:w="1701"/>
          </w:tcPr>
          <w:p>
            <w:pPr>
              <w:spacing w:after="20" w:before="20"/>
            </w:pPr>
            <w:r/>
            <w:r>
              <w:rPr>
                <w:b/>
                <w:sz w:val="15"/>
              </w:rPr>
              <w:t>€3,960,000</w:t>
            </w:r>
          </w:p>
        </w:tc>
        <w:tc>
          <w:tcPr>
            <w:tcW w:type="dxa" w:w="1247"/>
          </w:tcPr>
          <w:p>
            <w:pPr>
              <w:spacing w:after="20" w:before="20"/>
            </w:pPr>
            <w:r/>
            <w:r>
              <w:rPr>
                <w:b/>
                <w:sz w:val="15"/>
              </w:rPr>
              <w:t>100%</w:t>
            </w:r>
          </w:p>
        </w:tc>
        <w:tc>
          <w:tcPr>
            <w:tcW w:type="dxa" w:w="2041"/>
          </w:tcPr>
          <w:p>
            <w:pPr>
              <w:spacing w:after="20" w:before="20"/>
            </w:pPr>
            <w:r/>
            <w:r>
              <w:rPr>
                <w:b/>
                <w:sz w:val="15"/>
              </w:rPr>
              <w:t>= the Core total in 6.1 and Annex A</w:t>
            </w:r>
          </w:p>
        </w:tc>
      </w:tr>
    </w:tbl>
    <w:p>
      <w:pPr>
        <w:pStyle w:val="Heading3"/>
      </w:pPr>
      <w:r>
        <w:t>Full scenario — cost by year (2027–2031, 5 years)</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247"/>
            <w:shd w:val="clear" w:fill="0F2622"/>
          </w:tcPr>
          <w:p>
            <w:pPr>
              <w:spacing w:after="20" w:before="20"/>
            </w:pPr>
            <w:r/>
            <w:r>
              <w:rPr>
                <w:b/>
                <w:color w:val="FFFFFF"/>
                <w:sz w:val="15"/>
              </w:rPr>
              <w:t>Year</w:t>
            </w:r>
          </w:p>
        </w:tc>
        <w:tc>
          <w:tcPr>
            <w:tcW w:type="dxa" w:w="1701"/>
            <w:shd w:val="clear" w:fill="0F2622"/>
          </w:tcPr>
          <w:p>
            <w:pPr>
              <w:spacing w:after="20" w:before="20"/>
            </w:pPr>
            <w:r/>
            <w:r>
              <w:rPr>
                <w:b/>
                <w:color w:val="FFFFFF"/>
                <w:sz w:val="15"/>
              </w:rPr>
              <w:t>Spend</w:t>
            </w:r>
          </w:p>
        </w:tc>
        <w:tc>
          <w:tcPr>
            <w:tcW w:type="dxa" w:w="1247"/>
            <w:shd w:val="clear" w:fill="0F2622"/>
          </w:tcPr>
          <w:p>
            <w:pPr>
              <w:spacing w:after="20" w:before="20"/>
            </w:pPr>
            <w:r/>
            <w:r>
              <w:rPr>
                <w:b/>
                <w:color w:val="FFFFFF"/>
                <w:sz w:val="15"/>
              </w:rPr>
              <w:t>Share</w:t>
            </w:r>
          </w:p>
        </w:tc>
        <w:tc>
          <w:tcPr>
            <w:tcW w:type="dxa" w:w="2041"/>
            <w:shd w:val="clear" w:fill="0F2622"/>
          </w:tcPr>
          <w:p>
            <w:pPr>
              <w:spacing w:after="20" w:before="20"/>
            </w:pPr>
            <w:r/>
            <w:r>
              <w:rPr>
                <w:b/>
                <w:color w:val="FFFFFF"/>
                <w:sz w:val="15"/>
              </w:rPr>
              <w:t>Cumulative</w:t>
            </w:r>
          </w:p>
        </w:tc>
      </w:tr>
      <w:tr>
        <w:trPr>
          <w:cantSplit/>
        </w:trPr>
        <w:tc>
          <w:tcPr>
            <w:tcW w:type="dxa" w:w="1247"/>
          </w:tcPr>
          <w:p>
            <w:pPr>
              <w:spacing w:after="20" w:before="20"/>
            </w:pPr>
            <w:r/>
            <w:r>
              <w:rPr>
                <w:b w:val="0"/>
                <w:sz w:val="15"/>
              </w:rPr>
              <w:t>2027</w:t>
            </w:r>
          </w:p>
        </w:tc>
        <w:tc>
          <w:tcPr>
            <w:tcW w:type="dxa" w:w="1701"/>
          </w:tcPr>
          <w:p>
            <w:pPr>
              <w:spacing w:after="20" w:before="20"/>
            </w:pPr>
            <w:r/>
            <w:r>
              <w:rPr>
                <w:b w:val="0"/>
                <w:sz w:val="15"/>
              </w:rPr>
              <w:t>€2,165,400</w:t>
            </w:r>
          </w:p>
        </w:tc>
        <w:tc>
          <w:tcPr>
            <w:tcW w:type="dxa" w:w="1247"/>
          </w:tcPr>
          <w:p>
            <w:pPr>
              <w:spacing w:after="20" w:before="20"/>
            </w:pPr>
            <w:r/>
            <w:r>
              <w:rPr>
                <w:b w:val="0"/>
                <w:sz w:val="15"/>
              </w:rPr>
              <w:t>23%</w:t>
            </w:r>
          </w:p>
        </w:tc>
        <w:tc>
          <w:tcPr>
            <w:tcW w:type="dxa" w:w="2041"/>
          </w:tcPr>
          <w:p>
            <w:pPr>
              <w:spacing w:after="20" w:before="20"/>
            </w:pPr>
            <w:r/>
            <w:r>
              <w:rPr>
                <w:b w:val="0"/>
                <w:sz w:val="15"/>
              </w:rPr>
              <w:t>cumulative €2,165,400</w:t>
            </w:r>
          </w:p>
        </w:tc>
      </w:tr>
      <w:tr>
        <w:trPr>
          <w:cantSplit/>
        </w:trPr>
        <w:tc>
          <w:tcPr>
            <w:tcW w:type="dxa" w:w="1247"/>
            <w:shd w:val="clear" w:fill="EAF4EF"/>
          </w:tcPr>
          <w:p>
            <w:pPr>
              <w:spacing w:after="20" w:before="20"/>
            </w:pPr>
            <w:r/>
            <w:r>
              <w:rPr>
                <w:b w:val="0"/>
                <w:sz w:val="15"/>
              </w:rPr>
              <w:t>2028</w:t>
            </w:r>
          </w:p>
        </w:tc>
        <w:tc>
          <w:tcPr>
            <w:tcW w:type="dxa" w:w="1701"/>
            <w:shd w:val="clear" w:fill="EAF4EF"/>
          </w:tcPr>
          <w:p>
            <w:pPr>
              <w:spacing w:after="20" w:before="20"/>
            </w:pPr>
            <w:r/>
            <w:r>
              <w:rPr>
                <w:b w:val="0"/>
                <w:sz w:val="15"/>
              </w:rPr>
              <w:t>€2,123,400</w:t>
            </w:r>
          </w:p>
        </w:tc>
        <w:tc>
          <w:tcPr>
            <w:tcW w:type="dxa" w:w="1247"/>
            <w:shd w:val="clear" w:fill="EAF4EF"/>
          </w:tcPr>
          <w:p>
            <w:pPr>
              <w:spacing w:after="20" w:before="20"/>
            </w:pPr>
            <w:r/>
            <w:r>
              <w:rPr>
                <w:b w:val="0"/>
                <w:sz w:val="15"/>
              </w:rPr>
              <w:t>23%</w:t>
            </w:r>
          </w:p>
        </w:tc>
        <w:tc>
          <w:tcPr>
            <w:tcW w:type="dxa" w:w="2041"/>
            <w:shd w:val="clear" w:fill="EAF4EF"/>
          </w:tcPr>
          <w:p>
            <w:pPr>
              <w:spacing w:after="20" w:before="20"/>
            </w:pPr>
            <w:r/>
            <w:r>
              <w:rPr>
                <w:b w:val="0"/>
                <w:sz w:val="15"/>
              </w:rPr>
              <w:t>cumulative €4,288,800</w:t>
            </w:r>
          </w:p>
        </w:tc>
      </w:tr>
      <w:tr>
        <w:trPr>
          <w:cantSplit/>
        </w:trPr>
        <w:tc>
          <w:tcPr>
            <w:tcW w:type="dxa" w:w="1247"/>
          </w:tcPr>
          <w:p>
            <w:pPr>
              <w:spacing w:after="20" w:before="20"/>
            </w:pPr>
            <w:r/>
            <w:r>
              <w:rPr>
                <w:b w:val="0"/>
                <w:sz w:val="15"/>
              </w:rPr>
              <w:t>2029</w:t>
            </w:r>
          </w:p>
        </w:tc>
        <w:tc>
          <w:tcPr>
            <w:tcW w:type="dxa" w:w="1701"/>
          </w:tcPr>
          <w:p>
            <w:pPr>
              <w:spacing w:after="20" w:before="20"/>
            </w:pPr>
            <w:r/>
            <w:r>
              <w:rPr>
                <w:b w:val="0"/>
                <w:sz w:val="15"/>
              </w:rPr>
              <w:t>€1,815,600</w:t>
            </w:r>
          </w:p>
        </w:tc>
        <w:tc>
          <w:tcPr>
            <w:tcW w:type="dxa" w:w="1247"/>
          </w:tcPr>
          <w:p>
            <w:pPr>
              <w:spacing w:after="20" w:before="20"/>
            </w:pPr>
            <w:r/>
            <w:r>
              <w:rPr>
                <w:b w:val="0"/>
                <w:sz w:val="15"/>
              </w:rPr>
              <w:t>19%</w:t>
            </w:r>
          </w:p>
        </w:tc>
        <w:tc>
          <w:tcPr>
            <w:tcW w:type="dxa" w:w="2041"/>
          </w:tcPr>
          <w:p>
            <w:pPr>
              <w:spacing w:after="20" w:before="20"/>
            </w:pPr>
            <w:r/>
            <w:r>
              <w:rPr>
                <w:b w:val="0"/>
                <w:sz w:val="15"/>
              </w:rPr>
              <w:t>cumulative €6,104,400</w:t>
            </w:r>
          </w:p>
        </w:tc>
      </w:tr>
      <w:tr>
        <w:trPr>
          <w:cantSplit/>
        </w:trPr>
        <w:tc>
          <w:tcPr>
            <w:tcW w:type="dxa" w:w="1247"/>
            <w:shd w:val="clear" w:fill="EAF4EF"/>
          </w:tcPr>
          <w:p>
            <w:pPr>
              <w:spacing w:after="20" w:before="20"/>
            </w:pPr>
            <w:r/>
            <w:r>
              <w:rPr>
                <w:b w:val="0"/>
                <w:sz w:val="15"/>
              </w:rPr>
              <w:t>2030</w:t>
            </w:r>
          </w:p>
        </w:tc>
        <w:tc>
          <w:tcPr>
            <w:tcW w:type="dxa" w:w="1701"/>
            <w:shd w:val="clear" w:fill="EAF4EF"/>
          </w:tcPr>
          <w:p>
            <w:pPr>
              <w:spacing w:after="20" w:before="20"/>
            </w:pPr>
            <w:r/>
            <w:r>
              <w:rPr>
                <w:b w:val="0"/>
                <w:sz w:val="15"/>
              </w:rPr>
              <w:t>€1,711,200</w:t>
            </w:r>
          </w:p>
        </w:tc>
        <w:tc>
          <w:tcPr>
            <w:tcW w:type="dxa" w:w="1247"/>
            <w:shd w:val="clear" w:fill="EAF4EF"/>
          </w:tcPr>
          <w:p>
            <w:pPr>
              <w:spacing w:after="20" w:before="20"/>
            </w:pPr>
            <w:r/>
            <w:r>
              <w:rPr>
                <w:b w:val="0"/>
                <w:sz w:val="15"/>
              </w:rPr>
              <w:t>18%</w:t>
            </w:r>
          </w:p>
        </w:tc>
        <w:tc>
          <w:tcPr>
            <w:tcW w:type="dxa" w:w="2041"/>
            <w:shd w:val="clear" w:fill="EAF4EF"/>
          </w:tcPr>
          <w:p>
            <w:pPr>
              <w:spacing w:after="20" w:before="20"/>
            </w:pPr>
            <w:r/>
            <w:r>
              <w:rPr>
                <w:b w:val="0"/>
                <w:sz w:val="15"/>
              </w:rPr>
              <w:t>cumulative €7,815,600</w:t>
            </w:r>
          </w:p>
        </w:tc>
      </w:tr>
      <w:tr>
        <w:trPr>
          <w:cantSplit/>
        </w:trPr>
        <w:tc>
          <w:tcPr>
            <w:tcW w:type="dxa" w:w="1247"/>
          </w:tcPr>
          <w:p>
            <w:pPr>
              <w:spacing w:after="20" w:before="20"/>
            </w:pPr>
            <w:r/>
            <w:r>
              <w:rPr>
                <w:b w:val="0"/>
                <w:sz w:val="15"/>
              </w:rPr>
              <w:t>2031</w:t>
            </w:r>
          </w:p>
        </w:tc>
        <w:tc>
          <w:tcPr>
            <w:tcW w:type="dxa" w:w="1701"/>
          </w:tcPr>
          <w:p>
            <w:pPr>
              <w:spacing w:after="20" w:before="20"/>
            </w:pPr>
            <w:r/>
            <w:r>
              <w:rPr>
                <w:b w:val="0"/>
                <w:sz w:val="15"/>
              </w:rPr>
              <w:t>€1,544,400</w:t>
            </w:r>
          </w:p>
        </w:tc>
        <w:tc>
          <w:tcPr>
            <w:tcW w:type="dxa" w:w="1247"/>
          </w:tcPr>
          <w:p>
            <w:pPr>
              <w:spacing w:after="20" w:before="20"/>
            </w:pPr>
            <w:r/>
            <w:r>
              <w:rPr>
                <w:b w:val="0"/>
                <w:sz w:val="15"/>
              </w:rPr>
              <w:t>17%</w:t>
            </w:r>
          </w:p>
        </w:tc>
        <w:tc>
          <w:tcPr>
            <w:tcW w:type="dxa" w:w="2041"/>
          </w:tcPr>
          <w:p>
            <w:pPr>
              <w:spacing w:after="20" w:before="20"/>
            </w:pPr>
            <w:r/>
            <w:r>
              <w:rPr>
                <w:b w:val="0"/>
                <w:sz w:val="15"/>
              </w:rPr>
              <w:t>cumulative €9,360,000</w:t>
            </w:r>
          </w:p>
        </w:tc>
      </w:tr>
      <w:tr>
        <w:trPr>
          <w:cantSplit/>
        </w:trPr>
        <w:tc>
          <w:tcPr>
            <w:tcW w:type="dxa" w:w="1247"/>
            <w:shd w:val="clear" w:fill="EAF4EF"/>
          </w:tcPr>
          <w:p>
            <w:pPr>
              <w:spacing w:after="20" w:before="20"/>
            </w:pPr>
            <w:r/>
            <w:r>
              <w:rPr>
                <w:b/>
                <w:sz w:val="15"/>
              </w:rPr>
              <w:t>Total</w:t>
            </w:r>
          </w:p>
        </w:tc>
        <w:tc>
          <w:tcPr>
            <w:tcW w:type="dxa" w:w="1701"/>
            <w:shd w:val="clear" w:fill="EAF4EF"/>
          </w:tcPr>
          <w:p>
            <w:pPr>
              <w:spacing w:after="20" w:before="20"/>
            </w:pPr>
            <w:r/>
            <w:r>
              <w:rPr>
                <w:b/>
                <w:sz w:val="15"/>
              </w:rPr>
              <w:t>€9,360,000</w:t>
            </w:r>
          </w:p>
        </w:tc>
        <w:tc>
          <w:tcPr>
            <w:tcW w:type="dxa" w:w="1247"/>
            <w:shd w:val="clear" w:fill="EAF4EF"/>
          </w:tcPr>
          <w:p>
            <w:pPr>
              <w:spacing w:after="20" w:before="20"/>
            </w:pPr>
            <w:r/>
            <w:r>
              <w:rPr>
                <w:b/>
                <w:sz w:val="15"/>
              </w:rPr>
              <w:t>100%</w:t>
            </w:r>
          </w:p>
        </w:tc>
        <w:tc>
          <w:tcPr>
            <w:tcW w:type="dxa" w:w="2041"/>
            <w:shd w:val="clear" w:fill="EAF4EF"/>
          </w:tcPr>
          <w:p>
            <w:pPr>
              <w:spacing w:after="20" w:before="20"/>
            </w:pPr>
            <w:r/>
            <w:r>
              <w:rPr>
                <w:b/>
                <w:sz w:val="15"/>
              </w:rPr>
              <w:t>= the Full total in 6.1 and Annex A</w:t>
            </w:r>
          </w:p>
        </w:tc>
      </w:tr>
    </w:tbl>
    <w:p>
      <w:pPr>
        <w:spacing w:after="100"/>
      </w:pPr>
      <w:r>
        <w:rPr>
          <w:b w:val="0"/>
          <w:i/>
          <w:sz w:val="16"/>
        </w:rPr>
        <w:t>Table — three year profiles, each footing to its published scenario total. Two corrections are carried here. The contingency line was phased over the last two years of a five-year profile, which in the three-year Lean scenario phased it into years that do not exist: the Lean column summed to €1,032,000 against a published total of €1,079,500. Contingency is drawn against the whole programme and is now spread across every funded year. And the share column is rounded by largest remainder rather than cell by cell, so it sums to 100 rather than to 96 or 101.</w:t>
      </w:r>
    </w:p>
    <w:tbl>
      <w:tblPr>
        <w:tblW w:type="auto" w:w="0"/>
        <w:tblLook w:firstColumn="1" w:firstRow="1" w:lastColumn="0" w:lastRow="0" w:noHBand="0" w:noVBand="1" w:val="04A0"/>
      </w:tblPr>
      <w:tblGrid>
        <w:gridCol w:w="9638"/>
      </w:tblGrid>
      <w:tr>
        <w:tc>
          <w:tcPr>
            <w:tcW w:type="dxa" w:w="9638"/>
            <w:shd w:val="clear" w:fill="F8F1E5"/>
            <w:tcBorders>
              <w:left w:val="single" w:sz="24" w:color="E8A13D"/>
            </w:tcBorders>
          </w:tcPr>
          <w:p>
            <w:r/>
            <w:r>
              <w:rPr>
                <w:b/>
                <w:color w:val="14443C"/>
                <w:sz w:val="19"/>
              </w:rPr>
              <w:t>How to audit these numbers</w:t>
            </w:r>
          </w:p>
          <w:p>
            <w:pPr>
              <w:spacing w:after="20"/>
            </w:pPr>
            <w:r>
              <w:rPr>
                <w:sz w:val="18"/>
              </w:rPr>
              <w:t>Every scenario total is the sum of the cost lines above, generated from a single model used by all programme documents. Rates, profiles and contingency percentages are stated explicitly so a reviewer can recompute any cell, and section 5.4 does the division a reviewer would do first. Year columns are labelled 2027 onward because that is the cost model's baseline; section 4.3 explains why they should be read as programme years one to four. Direct-cost depth — rates × FTE-months, volumes × unit prices — is in Annex C for compute and in the programme's budget workbook for the rest, and the budget workbook is the first task of any funded programme rather than an artefact that exists today.</w:t>
            </w:r>
          </w:p>
        </w:tc>
      </w:tr>
    </w:tbl>
    <w:p>
      <w:pPr>
        <w:spacing w:after="60"/>
      </w:pPr>
    </w:p>
    <w:p>
      <w:pPr>
        <w:pStyle w:val="Heading2"/>
      </w:pPr>
      <w:r>
        <w:t>6.8 What the programme costs if nothing is contributed</w:t>
      </w:r>
    </w:p>
    <w:p>
      <w:pPr>
        <w:spacing w:after="100"/>
      </w:pPr>
      <w:r>
        <w:rPr>
          <w:b w:val="0"/>
          <w:i w:val="0"/>
          <w:sz w:val="19"/>
        </w:rPr>
        <w:t>Every scenario above is costed on the contributed column of 5.1 for five lines: the principal investigator, the postdoctoral researchers, the doctoral researchers, the methodological core (statistician and psychometrician) and operations, legal and governance, the line that carries the ethics review — with the institutional overhead inside those loaded rates. No institution has agreed to host this programme. This is what the failure of that assumption costs, line by line rather than as a blanket multiplier.</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1247"/>
            <w:shd w:val="clear" w:fill="0F2622"/>
          </w:tcPr>
          <w:p>
            <w:pPr>
              <w:spacing w:after="20" w:before="20"/>
            </w:pPr>
            <w:r/>
            <w:r>
              <w:rPr>
                <w:b/>
                <w:color w:val="FFFFFF"/>
                <w:sz w:val="15"/>
              </w:rPr>
              <w:t>Scenario</w:t>
            </w:r>
          </w:p>
        </w:tc>
        <w:tc>
          <w:tcPr>
            <w:tcW w:type="dxa" w:w="2041"/>
            <w:shd w:val="clear" w:fill="0F2622"/>
          </w:tcPr>
          <w:p>
            <w:pPr>
              <w:spacing w:after="20" w:before="20"/>
            </w:pPr>
            <w:r/>
            <w:r>
              <w:rPr>
                <w:b/>
                <w:color w:val="FFFFFF"/>
                <w:sz w:val="15"/>
              </w:rPr>
              <w:t>As costed (contributed)</w:t>
            </w:r>
          </w:p>
        </w:tc>
        <w:tc>
          <w:tcPr>
            <w:tcW w:type="dxa" w:w="2154"/>
            <w:shd w:val="clear" w:fill="0F2622"/>
          </w:tcPr>
          <w:p>
            <w:pPr>
              <w:spacing w:after="20" w:before="20"/>
            </w:pPr>
            <w:r/>
            <w:r>
              <w:rPr>
                <w:b/>
                <w:color w:val="FFFFFF"/>
                <w:sz w:val="15"/>
              </w:rPr>
              <w:t>Increase if bought</w:t>
            </w:r>
          </w:p>
        </w:tc>
        <w:tc>
          <w:tcPr>
            <w:tcW w:type="dxa" w:w="2381"/>
            <w:shd w:val="clear" w:fill="0F2622"/>
          </w:tcPr>
          <w:p>
            <w:pPr>
              <w:spacing w:after="20" w:before="20"/>
            </w:pPr>
            <w:r/>
            <w:r>
              <w:rPr>
                <w:b/>
                <w:color w:val="FFFFFF"/>
                <w:sz w:val="15"/>
              </w:rPr>
              <w:t>Total if bought</w:t>
            </w:r>
          </w:p>
        </w:tc>
        <w:tc>
          <w:tcPr>
            <w:tcW w:type="dxa" w:w="1474"/>
            <w:shd w:val="clear" w:fill="0F2622"/>
          </w:tcPr>
          <w:p>
            <w:pPr>
              <w:spacing w:after="20" w:before="20"/>
            </w:pPr>
            <w:r/>
            <w:r>
              <w:rPr>
                <w:b/>
                <w:color w:val="FFFFFF"/>
                <w:sz w:val="15"/>
              </w:rPr>
              <w:t>Change</w:t>
            </w:r>
          </w:p>
        </w:tc>
      </w:tr>
      <w:tr>
        <w:trPr>
          <w:cantSplit/>
        </w:trPr>
        <w:tc>
          <w:tcPr>
            <w:tcW w:type="dxa" w:w="1247"/>
          </w:tcPr>
          <w:p>
            <w:pPr>
              <w:spacing w:after="20" w:before="20"/>
            </w:pPr>
            <w:r/>
            <w:r>
              <w:rPr>
                <w:b w:val="0"/>
                <w:sz w:val="15"/>
              </w:rPr>
              <w:t>Lean</w:t>
            </w:r>
          </w:p>
        </w:tc>
        <w:tc>
          <w:tcPr>
            <w:tcW w:type="dxa" w:w="2041"/>
          </w:tcPr>
          <w:p>
            <w:pPr>
              <w:spacing w:after="20" w:before="20"/>
            </w:pPr>
            <w:r/>
            <w:r>
              <w:rPr>
                <w:b w:val="0"/>
                <w:sz w:val="15"/>
              </w:rPr>
              <w:t>€1,079,500</w:t>
            </w:r>
          </w:p>
        </w:tc>
        <w:tc>
          <w:tcPr>
            <w:tcW w:type="dxa" w:w="2154"/>
          </w:tcPr>
          <w:p>
            <w:pPr>
              <w:spacing w:after="20" w:before="20"/>
            </w:pPr>
            <w:r/>
            <w:r>
              <w:rPr>
                <w:b w:val="0"/>
                <w:sz w:val="15"/>
              </w:rPr>
              <w:t>+€399,500 to +€859,000</w:t>
            </w:r>
          </w:p>
        </w:tc>
        <w:tc>
          <w:tcPr>
            <w:tcW w:type="dxa" w:w="2381"/>
          </w:tcPr>
          <w:p>
            <w:pPr>
              <w:spacing w:after="20" w:before="20"/>
            </w:pPr>
            <w:r/>
            <w:r>
              <w:rPr>
                <w:b w:val="0"/>
                <w:sz w:val="15"/>
              </w:rPr>
              <w:t>€1,479,000–1,938,500</w:t>
            </w:r>
          </w:p>
        </w:tc>
        <w:tc>
          <w:tcPr>
            <w:tcW w:type="dxa" w:w="1474"/>
          </w:tcPr>
          <w:p>
            <w:pPr>
              <w:spacing w:after="20" w:before="20"/>
            </w:pPr>
            <w:r/>
            <w:r>
              <w:rPr>
                <w:b w:val="0"/>
                <w:sz w:val="15"/>
              </w:rPr>
              <w:t>+37% to +80%</w:t>
            </w:r>
          </w:p>
        </w:tc>
      </w:tr>
      <w:tr>
        <w:trPr>
          <w:cantSplit/>
        </w:trPr>
        <w:tc>
          <w:tcPr>
            <w:tcW w:type="dxa" w:w="1247"/>
            <w:shd w:val="clear" w:fill="EAF4EF"/>
          </w:tcPr>
          <w:p>
            <w:pPr>
              <w:spacing w:after="20" w:before="20"/>
            </w:pPr>
            <w:r/>
            <w:r>
              <w:rPr>
                <w:b w:val="0"/>
                <w:sz w:val="15"/>
              </w:rPr>
              <w:t>Core</w:t>
            </w:r>
          </w:p>
        </w:tc>
        <w:tc>
          <w:tcPr>
            <w:tcW w:type="dxa" w:w="2041"/>
            <w:shd w:val="clear" w:fill="EAF4EF"/>
          </w:tcPr>
          <w:p>
            <w:pPr>
              <w:spacing w:after="20" w:before="20"/>
            </w:pPr>
            <w:r/>
            <w:r>
              <w:rPr>
                <w:b w:val="0"/>
                <w:sz w:val="15"/>
              </w:rPr>
              <w:t>€3,960,000</w:t>
            </w:r>
          </w:p>
        </w:tc>
        <w:tc>
          <w:tcPr>
            <w:tcW w:type="dxa" w:w="2154"/>
            <w:shd w:val="clear" w:fill="EAF4EF"/>
          </w:tcPr>
          <w:p>
            <w:pPr>
              <w:spacing w:after="20" w:before="20"/>
            </w:pPr>
            <w:r/>
            <w:r>
              <w:rPr>
                <w:b w:val="0"/>
                <w:sz w:val="15"/>
              </w:rPr>
              <w:t>+€1,020,000 to +€2,176,000</w:t>
            </w:r>
          </w:p>
        </w:tc>
        <w:tc>
          <w:tcPr>
            <w:tcW w:type="dxa" w:w="2381"/>
            <w:shd w:val="clear" w:fill="EAF4EF"/>
          </w:tcPr>
          <w:p>
            <w:pPr>
              <w:spacing w:after="20" w:before="20"/>
            </w:pPr>
            <w:r/>
            <w:r>
              <w:rPr>
                <w:b w:val="0"/>
                <w:sz w:val="15"/>
              </w:rPr>
              <w:t>€4,980,000–6,136,000</w:t>
            </w:r>
          </w:p>
        </w:tc>
        <w:tc>
          <w:tcPr>
            <w:tcW w:type="dxa" w:w="1474"/>
            <w:shd w:val="clear" w:fill="EAF4EF"/>
          </w:tcPr>
          <w:p>
            <w:pPr>
              <w:spacing w:after="20" w:before="20"/>
            </w:pPr>
            <w:r/>
            <w:r>
              <w:rPr>
                <w:b w:val="0"/>
                <w:sz w:val="15"/>
              </w:rPr>
              <w:t>+26% to +55%</w:t>
            </w:r>
          </w:p>
        </w:tc>
      </w:tr>
      <w:tr>
        <w:trPr>
          <w:cantSplit/>
        </w:trPr>
        <w:tc>
          <w:tcPr>
            <w:tcW w:type="dxa" w:w="1247"/>
          </w:tcPr>
          <w:p>
            <w:pPr>
              <w:spacing w:after="20" w:before="20"/>
            </w:pPr>
            <w:r/>
            <w:r>
              <w:rPr>
                <w:b w:val="0"/>
                <w:sz w:val="15"/>
              </w:rPr>
              <w:t>Full</w:t>
            </w:r>
          </w:p>
        </w:tc>
        <w:tc>
          <w:tcPr>
            <w:tcW w:type="dxa" w:w="2041"/>
          </w:tcPr>
          <w:p>
            <w:pPr>
              <w:spacing w:after="20" w:before="20"/>
            </w:pPr>
            <w:r/>
            <w:r>
              <w:rPr>
                <w:b w:val="0"/>
                <w:sz w:val="15"/>
              </w:rPr>
              <w:t>€9,360,000</w:t>
            </w:r>
          </w:p>
        </w:tc>
        <w:tc>
          <w:tcPr>
            <w:tcW w:type="dxa" w:w="2154"/>
          </w:tcPr>
          <w:p>
            <w:pPr>
              <w:spacing w:after="20" w:before="20"/>
            </w:pPr>
            <w:r/>
            <w:r>
              <w:rPr>
                <w:b w:val="0"/>
                <w:sz w:val="15"/>
              </w:rPr>
              <w:t>+€2,008,000 to +€4,304,000</w:t>
            </w:r>
          </w:p>
        </w:tc>
        <w:tc>
          <w:tcPr>
            <w:tcW w:type="dxa" w:w="2381"/>
          </w:tcPr>
          <w:p>
            <w:pPr>
              <w:spacing w:after="20" w:before="20"/>
            </w:pPr>
            <w:r/>
            <w:r>
              <w:rPr>
                <w:b w:val="0"/>
                <w:sz w:val="15"/>
              </w:rPr>
              <w:t>€11,368,000–13,664,000</w:t>
            </w:r>
          </w:p>
        </w:tc>
        <w:tc>
          <w:tcPr>
            <w:tcW w:type="dxa" w:w="1474"/>
          </w:tcPr>
          <w:p>
            <w:pPr>
              <w:spacing w:after="20" w:before="20"/>
            </w:pPr>
            <w:r/>
            <w:r>
              <w:rPr>
                <w:b w:val="0"/>
                <w:sz w:val="15"/>
              </w:rPr>
              <w:t>+21% to +46%</w:t>
            </w:r>
          </w:p>
        </w:tc>
      </w:tr>
    </w:tbl>
    <w:p>
      <w:pPr>
        <w:spacing w:after="100"/>
      </w:pPr>
      <w:r>
        <w:rPr>
          <w:b w:val="0"/>
          <w:i/>
          <w:sz w:val="16"/>
        </w:rPr>
        <w:t>Applied per line, not as one blanket multiplier, because the roles do not convert at the same ratio: the principal investigator at 1.5–2.4×, postdoctoral researchers at 1.8–2.6×, doctoral researchers at 1.6–2.2×, the methodological core at 1.5–2.0× and operations and legal at 1.4–1.8×, each band taken from the two columns of 5.1. The research-engineering line is not multiplied, because it is already costed as bought work.</w:t>
      </w:r>
    </w:p>
    <w:p>
      <w:pPr>
        <w:spacing w:after="100"/>
      </w:pPr>
      <w:r>
        <w:rPr>
          <w:b w:val="0"/>
          <w:i w:val="0"/>
          <w:sz w:val="19"/>
        </w:rPr>
        <w:t>Read the Core row first. Losing the contributed assumption adds €1,020,000 to €2,176,000 to the recommended scenario — between two and five times the entire €450,000 compute budget, and more than the containment infrastructure, the independent review, the panels, the travel, the publication and the training school put together. It also changes which funders can fund the programme: a €6M request goes to a different set of programmes than a €4M one, and the doctoral line does not survive the conversion at any price, because a doctoral post is not something that can be bought from a supplier.</w:t>
      </w:r>
    </w:p>
    <w:p>
      <w:pPr>
        <w:spacing w:after="100"/>
      </w:pPr>
      <w:r>
        <w:rPr>
          <w:b w:val="0"/>
          <w:i w:val="0"/>
          <w:sz w:val="19"/>
        </w:rPr>
        <w:t>Three costs are excluded from the arithmetic above and would add to it: contingency, which is a percentage of the lines it sits on and therefore rises with them; institutional infrastructure — office, secure-lab hosting, insurance and administration — which is inside the loaded rates on the contributed column and is a purchase on the other; and the ethics review, which is nil if institutional and a placeholder otherwise. The figure in the table is therefore a floor.</w:t>
      </w:r>
    </w:p>
    <w:p>
      <w:pPr>
        <w:pStyle w:val="Heading2"/>
      </w:pPr>
      <w:r>
        <w:t>6.9 The ninety-entry catalogue: what it changes and what it would cost to do properly</w:t>
      </w:r>
    </w:p>
    <w:p>
      <w:pPr>
        <w:spacing w:after="100"/>
      </w:pPr>
      <w:r>
        <w:rPr>
          <w:b w:val="0"/>
          <w:i w:val="0"/>
          <w:sz w:val="19"/>
        </w:rPr>
        <w:t>The field manual's catalogue more than doubled between v1.2 and v1.3 and the scenario totals did not move. That is a scope decision, recorded in the shared cost model and quoted in full at 6.1, and this section states its price and its weakest point rather than leaving either to be found.</w:t>
      </w:r>
    </w:p>
    <w:p>
      <w:pPr>
        <w:spacing w:after="100"/>
      </w:pPr>
      <w:r>
        <w:rPr>
          <w:b w:val="0"/>
          <w:i w:val="0"/>
          <w:sz w:val="19"/>
        </w:rPr>
        <w:t>The decision holds the instrument at axis level — ten axis constructs, a 360-item bank — and funds trait-level differential work for a pre-registered priority set of 46 entries: the 31 whose evidence label is not established, plus the 17 entries in the three groups new in v1.3, less the two counted in both. The remaining 44 entries are all labelled established and all sit in the seven pre-existing groups; they are covered at axis level and adjudicated against published differential evidence, and any entry no battery reaches is reported as untested rather than as separated.</w:t>
      </w:r>
    </w:p>
    <w:p>
      <w:pPr>
        <w:spacing w:after="100"/>
      </w:pPr>
      <w:r>
        <w:rPr>
          <w:b w:val="0"/>
          <w:i w:val="0"/>
          <w:sz w:val="19"/>
        </w:rPr>
        <w:t>The weakest point in that argument is the unit of work, and a sceptical reviewer will find it. A differential battery discriminates one entry from a named neighbour, so the unit is the pair, not the entry. The counting rule is stated so that the arithmetic is checkable rather than merely plausible: every T-code named in the ‘Do not confuse it with (differential)’ section of a Chapter 6 entry is taken as one confusable pair, pairs are de-duplicated as unordered, and the resulting list is checked into the shared data model that generates this plan and the Study Proposal, so any row can be verified against the manual. On that rule v1.3 names 218 distinct pairs across 90 entries — a median of four per entry, a minimum of one and a maximum of sixteen — against the 4,005 pairs a complete pairwise design would imply. That bounding is the reason the work does not explode.</w:t>
      </w:r>
    </w:p>
    <w:p>
      <w:pPr>
        <w:spacing w:after="100"/>
      </w:pPr>
      <w:r>
        <w:rPr>
          <w:b w:val="0"/>
          <w:i w:val="0"/>
          <w:sz w:val="19"/>
        </w:rPr>
        <w:t>But of those 218 pairs, 141 touch the priority set and only 38 have both ends inside it, where a closed forty-entry catalogue names 56 internal pairs. On entries the funded scope grew from 40 to 46; on pairs with both ends funded it fell, and the cost model's argument rests on the first number. That is the honest shape of the objection, and it is open item OI-9.</w:t>
      </w:r>
    </w:p>
    <w:p>
      <w:pPr>
        <w:spacing w:after="100"/>
      </w:pPr>
      <w:r>
        <w:rPr>
          <w:b w:val="0"/>
          <w:i w:val="0"/>
          <w:sz w:val="19"/>
        </w:rPr>
        <w:t>Two things follow, and the first is stronger than the v1.0 edition allowed. The 103 pairs that bridge from the priority set to a deferred entry are not wasted work: a battery separates both of its arms, so running them reaches 39 further entries beyond the 46 funded, for a total of 85 entries touched by a funded battery, 54 of them established. Only one arm of each bridging battery is new probe development, because the other end is an established entry the axis-level instrument already covers. That is why H3 in 2.3 is stated against a denominator of 85 rather than 46.</w:t>
      </w:r>
    </w:p>
    <w:p>
      <w:pPr>
        <w:spacing w:after="100"/>
      </w:pPr>
      <w:r>
        <w:rPr>
          <w:b w:val="0"/>
          <w:i w:val="0"/>
          <w:sz w:val="19"/>
        </w:rPr>
        <w:t>The second is the cost of the first, and it is a real gap rather than a rounding. Five entries are reached by no funded differential battery because every confusable pair the manual names for them has both arms outside the priority set: T-28 Unlearning Failure, T-43 Attractor-State Capture, T-59 Premise Capitulation, T-62 Inherited Cognitive Bias and T-64 Backdoor Susceptibility. All five carry an established label, so the gap is in coverage rather than in evidence, and each is a candidate for the first scope increase if the programme is funded above the Core scenario.</w:t>
      </w:r>
    </w:p>
    <w:p>
      <w:pPr>
        <w:spacing w:after="100"/>
      </w:pPr>
      <w:r>
        <w:rPr>
          <w:b w:val="0"/>
          <w:i w:val="0"/>
          <w:sz w:val="19"/>
        </w:rPr>
        <w:t>The price of doing it the other way is computable and is given here so that a funder can choose. One block of the Annex C volume model scales with the number of entries in the priority set — the differential batteries, 27 per cent of the modelled generations — while the prevalence atlas and the discovery allowance do not, because a 120-item screen across vendor pairs and a fixed allowance do not grow when the catalogue does. Extending full batteries from 46 entries to all 90 scales that block by 44/46, which against the combined inference and annotation lines of €670,000 is about €175,000 — 4.4 per cent on the Core total, taking it to roughly €4,135,000. The shared cost model describes the same estimate as ‘pro rata on entry counts’; this is that calculation written out, and applying it to the whole WP3 share rather than to the scaling block alone is what made the earlier figure larger. It is a planning estimate, not a costed line, this plan does not carry it, and it does not claim to.</w:t>
      </w:r>
    </w:p>
    <w:p>
      <w:pPr>
        <w:pStyle w:val="Heading2"/>
      </w:pPr>
      <w:r>
        <w:t>6.10 Sensitivity: which lines move most</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2494"/>
            <w:shd w:val="clear" w:fill="0F2622"/>
          </w:tcPr>
          <w:p>
            <w:pPr>
              <w:spacing w:after="20" w:before="20"/>
            </w:pPr>
            <w:r/>
            <w:r>
              <w:rPr>
                <w:b/>
                <w:color w:val="FFFFFF"/>
                <w:sz w:val="14"/>
              </w:rPr>
              <w:t>If this is wrong</w:t>
            </w:r>
          </w:p>
        </w:tc>
        <w:tc>
          <w:tcPr>
            <w:tcW w:type="dxa" w:w="2494"/>
            <w:shd w:val="clear" w:fill="0F2622"/>
          </w:tcPr>
          <w:p>
            <w:pPr>
              <w:spacing w:after="20" w:before="20"/>
            </w:pPr>
            <w:r/>
            <w:r>
              <w:rPr>
                <w:b/>
                <w:color w:val="FFFFFF"/>
                <w:sz w:val="14"/>
              </w:rPr>
              <w:t>The line it moves</w:t>
            </w:r>
          </w:p>
        </w:tc>
        <w:tc>
          <w:tcPr>
            <w:tcW w:type="dxa" w:w="1928"/>
            <w:shd w:val="clear" w:fill="0F2622"/>
          </w:tcPr>
          <w:p>
            <w:pPr>
              <w:spacing w:after="20" w:before="20"/>
            </w:pPr>
            <w:r/>
            <w:r>
              <w:rPr>
                <w:b/>
                <w:color w:val="FFFFFF"/>
                <w:sz w:val="14"/>
              </w:rPr>
              <w:t>Movement</w:t>
            </w:r>
          </w:p>
        </w:tc>
        <w:tc>
          <w:tcPr>
            <w:tcW w:type="dxa" w:w="1814"/>
            <w:shd w:val="clear" w:fill="0F2622"/>
          </w:tcPr>
          <w:p>
            <w:pPr>
              <w:spacing w:after="20" w:before="20"/>
            </w:pPr>
            <w:r/>
            <w:r>
              <w:rPr>
                <w:b/>
                <w:color w:val="FFFFFF"/>
                <w:sz w:val="14"/>
              </w:rPr>
              <w:t>Effect on the Core total</w:t>
            </w:r>
          </w:p>
        </w:tc>
        <w:tc>
          <w:tcPr>
            <w:tcW w:type="dxa" w:w="907"/>
            <w:shd w:val="clear" w:fill="0F2622"/>
          </w:tcPr>
          <w:p>
            <w:pPr>
              <w:spacing w:after="20" w:before="20"/>
            </w:pPr>
            <w:r/>
            <w:r>
              <w:rPr>
                <w:b/>
                <w:color w:val="FFFFFF"/>
                <w:sz w:val="14"/>
              </w:rPr>
              <w:t>Where</w:t>
            </w:r>
          </w:p>
        </w:tc>
      </w:tr>
      <w:tr>
        <w:trPr>
          <w:cantSplit/>
        </w:trPr>
        <w:tc>
          <w:tcPr>
            <w:tcW w:type="dxa" w:w="2494"/>
          </w:tcPr>
          <w:p>
            <w:pPr>
              <w:spacing w:after="20" w:before="20"/>
            </w:pPr>
            <w:r/>
            <w:r>
              <w:rPr>
                <w:b w:val="0"/>
                <w:sz w:val="14"/>
              </w:rPr>
              <w:t>The contributed assumption fails (no host)</w:t>
            </w:r>
          </w:p>
        </w:tc>
        <w:tc>
          <w:tcPr>
            <w:tcW w:type="dxa" w:w="2494"/>
          </w:tcPr>
          <w:p>
            <w:pPr>
              <w:spacing w:after="20" w:before="20"/>
            </w:pPr>
            <w:r/>
            <w:r>
              <w:rPr>
                <w:b w:val="0"/>
                <w:sz w:val="14"/>
              </w:rPr>
              <w:t>€2,180,000 personnel block (55% of Core)</w:t>
            </w:r>
          </w:p>
        </w:tc>
        <w:tc>
          <w:tcPr>
            <w:tcW w:type="dxa" w:w="1928"/>
          </w:tcPr>
          <w:p>
            <w:pPr>
              <w:spacing w:after="20" w:before="20"/>
            </w:pPr>
            <w:r/>
            <w:r>
              <w:rPr>
                <w:b w:val="0"/>
                <w:sz w:val="14"/>
              </w:rPr>
              <w:t>+€1,020,000 to +€2,176,000</w:t>
            </w:r>
          </w:p>
        </w:tc>
        <w:tc>
          <w:tcPr>
            <w:tcW w:type="dxa" w:w="1814"/>
          </w:tcPr>
          <w:p>
            <w:pPr>
              <w:spacing w:after="20" w:before="20"/>
            </w:pPr>
            <w:r/>
            <w:r>
              <w:rPr>
                <w:b w:val="0"/>
                <w:sz w:val="14"/>
              </w:rPr>
              <w:t>+26% to +55%</w:t>
            </w:r>
          </w:p>
        </w:tc>
        <w:tc>
          <w:tcPr>
            <w:tcW w:type="dxa" w:w="907"/>
          </w:tcPr>
          <w:p>
            <w:pPr>
              <w:spacing w:after="20" w:before="20"/>
            </w:pPr>
            <w:r/>
            <w:r>
              <w:rPr>
                <w:b w:val="0"/>
                <w:sz w:val="14"/>
              </w:rPr>
              <w:t>6.8</w:t>
            </w:r>
          </w:p>
        </w:tc>
      </w:tr>
      <w:tr>
        <w:trPr>
          <w:cantSplit/>
        </w:trPr>
        <w:tc>
          <w:tcPr>
            <w:tcW w:type="dxa" w:w="2494"/>
            <w:shd w:val="clear" w:fill="EAF4EF"/>
          </w:tcPr>
          <w:p>
            <w:pPr>
              <w:spacing w:after="20" w:before="20"/>
            </w:pPr>
            <w:r/>
            <w:r>
              <w:rPr>
                <w:b w:val="0"/>
                <w:sz w:val="14"/>
              </w:rPr>
              <w:t>The API unit price is wrong by a factor of two</w:t>
            </w:r>
          </w:p>
        </w:tc>
        <w:tc>
          <w:tcPr>
            <w:tcW w:type="dxa" w:w="2494"/>
            <w:shd w:val="clear" w:fill="EAF4EF"/>
          </w:tcPr>
          <w:p>
            <w:pPr>
              <w:spacing w:after="20" w:before="20"/>
            </w:pPr>
            <w:r/>
            <w:r>
              <w:rPr>
                <w:b w:val="0"/>
                <w:sz w:val="14"/>
              </w:rPr>
              <w:t>€450,000 inference line (11%)</w:t>
            </w:r>
          </w:p>
        </w:tc>
        <w:tc>
          <w:tcPr>
            <w:tcW w:type="dxa" w:w="1928"/>
            <w:shd w:val="clear" w:fill="EAF4EF"/>
          </w:tcPr>
          <w:p>
            <w:pPr>
              <w:spacing w:after="20" w:before="20"/>
            </w:pPr>
            <w:r/>
            <w:r>
              <w:rPr>
                <w:b w:val="0"/>
                <w:sz w:val="14"/>
              </w:rPr>
              <w:t>−€225,000 to +€450,000</w:t>
            </w:r>
          </w:p>
        </w:tc>
        <w:tc>
          <w:tcPr>
            <w:tcW w:type="dxa" w:w="1814"/>
            <w:shd w:val="clear" w:fill="EAF4EF"/>
          </w:tcPr>
          <w:p>
            <w:pPr>
              <w:spacing w:after="20" w:before="20"/>
            </w:pPr>
            <w:r/>
            <w:r>
              <w:rPr>
                <w:b w:val="0"/>
                <w:sz w:val="14"/>
              </w:rPr>
              <w:t>−5.7% to +11.4%</w:t>
            </w:r>
          </w:p>
        </w:tc>
        <w:tc>
          <w:tcPr>
            <w:tcW w:type="dxa" w:w="907"/>
            <w:shd w:val="clear" w:fill="EAF4EF"/>
          </w:tcPr>
          <w:p>
            <w:pPr>
              <w:spacing w:after="20" w:before="20"/>
            </w:pPr>
            <w:r/>
            <w:r>
              <w:rPr>
                <w:b w:val="0"/>
                <w:sz w:val="14"/>
              </w:rPr>
              <w:t>Annex C</w:t>
            </w:r>
          </w:p>
        </w:tc>
      </w:tr>
      <w:tr>
        <w:trPr>
          <w:cantSplit/>
        </w:trPr>
        <w:tc>
          <w:tcPr>
            <w:tcW w:type="dxa" w:w="2494"/>
          </w:tcPr>
          <w:p>
            <w:pPr>
              <w:spacing w:after="20" w:before="20"/>
            </w:pPr>
            <w:r/>
            <w:r>
              <w:rPr>
                <w:b w:val="0"/>
                <w:sz w:val="14"/>
              </w:rPr>
              <w:t>WP3 extends differential batteries to all ninety entries</w:t>
            </w:r>
          </w:p>
        </w:tc>
        <w:tc>
          <w:tcPr>
            <w:tcW w:type="dxa" w:w="2494"/>
          </w:tcPr>
          <w:p>
            <w:pPr>
              <w:spacing w:after="20" w:before="20"/>
            </w:pPr>
            <w:r/>
            <w:r>
              <w:rPr>
                <w:b w:val="0"/>
                <w:sz w:val="14"/>
              </w:rPr>
              <w:t>the differential-battery block of the inference and annotation lines (27% of €670,000); the prevalence atlas and the discovery allowance do not scale with the catalogue</w:t>
            </w:r>
          </w:p>
        </w:tc>
        <w:tc>
          <w:tcPr>
            <w:tcW w:type="dxa" w:w="1928"/>
          </w:tcPr>
          <w:p>
            <w:pPr>
              <w:spacing w:after="20" w:before="20"/>
            </w:pPr>
            <w:r/>
            <w:r>
              <w:rPr>
                <w:b w:val="0"/>
                <w:sz w:val="14"/>
              </w:rPr>
              <w:t>+€175,000 (pro rata, a planning estimate)</w:t>
            </w:r>
          </w:p>
        </w:tc>
        <w:tc>
          <w:tcPr>
            <w:tcW w:type="dxa" w:w="1814"/>
          </w:tcPr>
          <w:p>
            <w:pPr>
              <w:spacing w:after="20" w:before="20"/>
            </w:pPr>
            <w:r/>
            <w:r>
              <w:rPr>
                <w:b w:val="0"/>
                <w:sz w:val="14"/>
              </w:rPr>
              <w:t>+4.4%</w:t>
            </w:r>
          </w:p>
        </w:tc>
        <w:tc>
          <w:tcPr>
            <w:tcW w:type="dxa" w:w="907"/>
          </w:tcPr>
          <w:p>
            <w:pPr>
              <w:spacing w:after="20" w:before="20"/>
            </w:pPr>
            <w:r/>
            <w:r>
              <w:rPr>
                <w:b w:val="0"/>
                <w:sz w:val="14"/>
              </w:rPr>
              <w:t>6.9</w:t>
            </w:r>
          </w:p>
        </w:tc>
      </w:tr>
      <w:tr>
        <w:trPr>
          <w:cantSplit/>
        </w:trPr>
        <w:tc>
          <w:tcPr>
            <w:tcW w:type="dxa" w:w="2494"/>
            <w:shd w:val="clear" w:fill="EAF4EF"/>
          </w:tcPr>
          <w:p>
            <w:pPr>
              <w:spacing w:after="20" w:before="20"/>
            </w:pPr>
            <w:r/>
            <w:r>
              <w:rPr>
                <w:b w:val="0"/>
                <w:sz w:val="14"/>
              </w:rPr>
              <w:t>The agentic containment tier (task 4.7) is priced</w:t>
            </w:r>
          </w:p>
        </w:tc>
        <w:tc>
          <w:tcPr>
            <w:tcW w:type="dxa" w:w="2494"/>
            <w:shd w:val="clear" w:fill="EAF4EF"/>
          </w:tcPr>
          <w:p>
            <w:pPr>
              <w:spacing w:after="20" w:before="20"/>
            </w:pPr>
            <w:r/>
            <w:r>
              <w:rPr>
                <w:b w:val="0"/>
                <w:sz w:val="14"/>
              </w:rPr>
              <w:t>€120,000 containment line (3%)</w:t>
            </w:r>
          </w:p>
        </w:tc>
        <w:tc>
          <w:tcPr>
            <w:tcW w:type="dxa" w:w="1928"/>
            <w:shd w:val="clear" w:fill="EAF4EF"/>
          </w:tcPr>
          <w:p>
            <w:pPr>
              <w:spacing w:after="20" w:before="20"/>
            </w:pPr>
            <w:r/>
            <w:r>
              <w:rPr>
                <w:b w:val="0"/>
                <w:sz w:val="14"/>
              </w:rPr>
              <w:t>PLACEHOLDER — no quote held</w:t>
            </w:r>
          </w:p>
        </w:tc>
        <w:tc>
          <w:tcPr>
            <w:tcW w:type="dxa" w:w="1814"/>
            <w:shd w:val="clear" w:fill="EAF4EF"/>
          </w:tcPr>
          <w:p>
            <w:pPr>
              <w:spacing w:after="20" w:before="20"/>
            </w:pPr>
            <w:r/>
            <w:r>
              <w:rPr>
                <w:b w:val="0"/>
                <w:sz w:val="14"/>
              </w:rPr>
              <w:t>Unknown; the plan declares it rather than absorbing it</w:t>
            </w:r>
          </w:p>
        </w:tc>
        <w:tc>
          <w:tcPr>
            <w:tcW w:type="dxa" w:w="907"/>
            <w:shd w:val="clear" w:fill="EAF4EF"/>
          </w:tcPr>
          <w:p>
            <w:pPr>
              <w:spacing w:after="20" w:before="20"/>
            </w:pPr>
            <w:r/>
            <w:r>
              <w:rPr>
                <w:b w:val="0"/>
                <w:sz w:val="14"/>
              </w:rPr>
              <w:t>task 4.7, Annex E</w:t>
            </w:r>
          </w:p>
        </w:tc>
      </w:tr>
      <w:tr>
        <w:trPr>
          <w:cantSplit/>
        </w:trPr>
        <w:tc>
          <w:tcPr>
            <w:tcW w:type="dxa" w:w="2494"/>
          </w:tcPr>
          <w:p>
            <w:pPr>
              <w:spacing w:after="20" w:before="20"/>
            </w:pPr>
            <w:r/>
            <w:r>
              <w:rPr>
                <w:b w:val="0"/>
                <w:sz w:val="14"/>
              </w:rPr>
              <w:t>Annotation minutes per item are 50% higher than assumed</w:t>
            </w:r>
          </w:p>
        </w:tc>
        <w:tc>
          <w:tcPr>
            <w:tcW w:type="dxa" w:w="2494"/>
          </w:tcPr>
          <w:p>
            <w:pPr>
              <w:spacing w:after="20" w:before="20"/>
            </w:pPr>
            <w:r/>
            <w:r>
              <w:rPr>
                <w:b w:val="0"/>
                <w:sz w:val="14"/>
              </w:rPr>
              <w:t>€220,000 annotation line (6%)</w:t>
            </w:r>
          </w:p>
        </w:tc>
        <w:tc>
          <w:tcPr>
            <w:tcW w:type="dxa" w:w="1928"/>
          </w:tcPr>
          <w:p>
            <w:pPr>
              <w:spacing w:after="20" w:before="20"/>
            </w:pPr>
            <w:r/>
            <w:r>
              <w:rPr>
                <w:b w:val="0"/>
                <w:sz w:val="14"/>
              </w:rPr>
              <w:t>+€110,000</w:t>
            </w:r>
          </w:p>
        </w:tc>
        <w:tc>
          <w:tcPr>
            <w:tcW w:type="dxa" w:w="1814"/>
          </w:tcPr>
          <w:p>
            <w:pPr>
              <w:spacing w:after="20" w:before="20"/>
            </w:pPr>
            <w:r/>
            <w:r>
              <w:rPr>
                <w:b w:val="0"/>
                <w:sz w:val="14"/>
              </w:rPr>
              <w:t>+2.8%</w:t>
            </w:r>
          </w:p>
        </w:tc>
        <w:tc>
          <w:tcPr>
            <w:tcW w:type="dxa" w:w="907"/>
          </w:tcPr>
          <w:p>
            <w:pPr>
              <w:spacing w:after="20" w:before="20"/>
            </w:pPr>
            <w:r/>
            <w:r>
              <w:rPr>
                <w:b w:val="0"/>
                <w:sz w:val="14"/>
              </w:rPr>
              <w:t>Annex C</w:t>
            </w:r>
          </w:p>
        </w:tc>
      </w:tr>
      <w:tr>
        <w:trPr>
          <w:cantSplit/>
        </w:trPr>
        <w:tc>
          <w:tcPr>
            <w:tcW w:type="dxa" w:w="2494"/>
            <w:shd w:val="clear" w:fill="EAF4EF"/>
          </w:tcPr>
          <w:p>
            <w:pPr>
              <w:spacing w:after="20" w:before="20"/>
            </w:pPr>
            <w:r/>
            <w:r>
              <w:rPr>
                <w:b w:val="0"/>
                <w:sz w:val="14"/>
              </w:rPr>
              <w:t>Ethics review must be bought rather than hosted</w:t>
            </w:r>
          </w:p>
        </w:tc>
        <w:tc>
          <w:tcPr>
            <w:tcW w:type="dxa" w:w="2494"/>
            <w:shd w:val="clear" w:fill="EAF4EF"/>
          </w:tcPr>
          <w:p>
            <w:pPr>
              <w:spacing w:after="20" w:before="20"/>
            </w:pPr>
            <w:r/>
            <w:r>
              <w:rPr>
                <w:b w:val="0"/>
                <w:sz w:val="14"/>
              </w:rPr>
              <w:t>inside the operations, legal and governance line</w:t>
            </w:r>
          </w:p>
        </w:tc>
        <w:tc>
          <w:tcPr>
            <w:tcW w:type="dxa" w:w="1928"/>
            <w:shd w:val="clear" w:fill="EAF4EF"/>
          </w:tcPr>
          <w:p>
            <w:pPr>
              <w:spacing w:after="20" w:before="20"/>
            </w:pPr>
            <w:r/>
            <w:r>
              <w:rPr>
                <w:b w:val="0"/>
                <w:sz w:val="14"/>
              </w:rPr>
              <w:t>PLACEHOLDER — no committee approached</w:t>
            </w:r>
          </w:p>
        </w:tc>
        <w:tc>
          <w:tcPr>
            <w:tcW w:type="dxa" w:w="1814"/>
            <w:shd w:val="clear" w:fill="EAF4EF"/>
          </w:tcPr>
          <w:p>
            <w:pPr>
              <w:spacing w:after="20" w:before="20"/>
            </w:pPr>
            <w:r/>
            <w:r>
              <w:rPr>
                <w:b w:val="0"/>
                <w:sz w:val="14"/>
              </w:rPr>
              <w:t>Unknown</w:t>
            </w:r>
          </w:p>
        </w:tc>
        <w:tc>
          <w:tcPr>
            <w:tcW w:type="dxa" w:w="907"/>
            <w:shd w:val="clear" w:fill="EAF4EF"/>
          </w:tcPr>
          <w:p>
            <w:pPr>
              <w:spacing w:after="20" w:before="20"/>
            </w:pPr>
            <w:r/>
            <w:r>
              <w:rPr>
                <w:b w:val="0"/>
                <w:sz w:val="14"/>
              </w:rPr>
              <w:t>5.1, Annex E</w:t>
            </w:r>
          </w:p>
        </w:tc>
      </w:tr>
    </w:tbl>
    <w:p>
      <w:pPr>
        <w:spacing w:after="100"/>
      </w:pPr>
      <w:r>
        <w:rPr>
          <w:b w:val="0"/>
          <w:i/>
          <w:sz w:val="16"/>
        </w:rPr>
        <w:t>Every movement in this table is stated before contingency. Contingency is a percentage of the lines beneath it (5.2), so a line that moves carries the contingency on it as well: the Core figures above understate their effect on the published total by about 9 per cent of themselves. The understatement is small against the ranking and the ranking is what the table is for, but a reviewer recomputing a cell should know which convention it uses.</w:t>
      </w:r>
    </w:p>
    <w:p>
      <w:pPr>
        <w:spacing w:after="100"/>
      </w:pPr>
      <w:r>
        <w:rPr>
          <w:b w:val="0"/>
          <w:i w:val="0"/>
          <w:sz w:val="19"/>
        </w:rPr>
        <w:t>The ranking is the point. Compute is the line a reviewer questions first and it is not the line that governs the programme: it is 11 per cent of the Core total and it would have to be wrong by a factor of two to move the total by a tenth. The personnel block is 55 per cent, it rests on an assumption nobody has agreed to, and its failure moves the total by a quarter to a half. The programme's financial risk is an institutional risk, not a technical one.</w:t>
      </w:r>
    </w:p>
    <w:p>
      <w:pPr>
        <w:pStyle w:val="Heading2"/>
      </w:pPr>
      <w:r>
        <w:t>6.11 What a reviewer will ask about the costs</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0F2622"/>
          </w:tcPr>
          <w:p>
            <w:pPr>
              <w:spacing w:after="20" w:before="20"/>
            </w:pPr>
            <w:r/>
            <w:r>
              <w:rPr>
                <w:b/>
                <w:color w:val="FFFFFF"/>
                <w:sz w:val="14"/>
              </w:rPr>
              <w:t>The question, as a reviewer would put it</w:t>
            </w:r>
          </w:p>
        </w:tc>
        <w:tc>
          <w:tcPr>
            <w:tcW w:type="dxa" w:w="3742"/>
            <w:shd w:val="clear" w:fill="0F2622"/>
          </w:tcPr>
          <w:p>
            <w:pPr>
              <w:spacing w:after="20" w:before="20"/>
            </w:pPr>
            <w:r/>
            <w:r>
              <w:rPr>
                <w:b/>
                <w:color w:val="FFFFFF"/>
                <w:sz w:val="14"/>
              </w:rPr>
              <w:t>The answer</w:t>
            </w:r>
          </w:p>
        </w:tc>
        <w:tc>
          <w:tcPr>
            <w:tcW w:type="dxa" w:w="1361"/>
            <w:shd w:val="clear" w:fill="0F2622"/>
          </w:tcPr>
          <w:p>
            <w:pPr>
              <w:spacing w:after="20" w:before="20"/>
            </w:pPr>
            <w:r/>
            <w:r>
              <w:rPr>
                <w:b/>
                <w:color w:val="FFFFFF"/>
                <w:sz w:val="14"/>
              </w:rPr>
              <w:t>Where it is carried</w:t>
            </w:r>
          </w:p>
        </w:tc>
        <w:tc>
          <w:tcPr>
            <w:tcW w:type="dxa" w:w="1361"/>
            <w:shd w:val="clear" w:fill="0F2622"/>
          </w:tcPr>
          <w:p>
            <w:pPr>
              <w:spacing w:after="20" w:before="20"/>
            </w:pPr>
            <w:r/>
            <w:r>
              <w:rPr>
                <w:b/>
                <w:color w:val="FFFFFF"/>
                <w:sz w:val="14"/>
              </w:rPr>
              <w:t>Status</w:t>
            </w:r>
          </w:p>
        </w:tc>
      </w:tr>
      <w:tr>
        <w:trPr>
          <w:cantSplit/>
        </w:trPr>
        <w:tc>
          <w:tcPr>
            <w:tcW w:type="dxa" w:w="2494"/>
          </w:tcPr>
          <w:p>
            <w:pPr>
              <w:spacing w:after="20" w:before="20"/>
            </w:pPr>
            <w:r/>
            <w:r>
              <w:rPr>
                <w:b w:val="0"/>
                <w:sz w:val="14"/>
              </w:rPr>
              <w:t>‘How many of these numbers are quotes?’</w:t>
            </w:r>
          </w:p>
        </w:tc>
        <w:tc>
          <w:tcPr>
            <w:tcW w:type="dxa" w:w="3742"/>
          </w:tcPr>
          <w:p>
            <w:pPr>
              <w:spacing w:after="20" w:before="20"/>
            </w:pPr>
            <w:r/>
            <w:r>
              <w:rPr>
                <w:b w:val="0"/>
                <w:sz w:val="14"/>
              </w:rPr>
              <w:t>None. No manufacturer, vendor, auditor, consultant or committee has been asked for a number, and the plan writes PLACEHOLDER rather than guessing. The largest placeholder — the cluster and training residual inside the inference line — is also the largest number in that line.</w:t>
            </w:r>
          </w:p>
        </w:tc>
        <w:tc>
          <w:tcPr>
            <w:tcW w:type="dxa" w:w="1361"/>
          </w:tcPr>
          <w:p>
            <w:pPr>
              <w:spacing w:after="20" w:before="20"/>
            </w:pPr>
            <w:r/>
            <w:r>
              <w:rPr>
                <w:b w:val="0"/>
                <w:sz w:val="14"/>
              </w:rPr>
              <w:t>1.2, 6.2, Annex C.2</w:t>
            </w:r>
          </w:p>
        </w:tc>
        <w:tc>
          <w:tcPr>
            <w:tcW w:type="dxa" w:w="1361"/>
          </w:tcPr>
          <w:p>
            <w:pPr>
              <w:spacing w:after="20" w:before="20"/>
            </w:pPr>
            <w:r/>
            <w:r>
              <w:rPr>
                <w:b w:val="0"/>
                <w:sz w:val="14"/>
              </w:rPr>
              <w:t>Settled</w:t>
            </w:r>
          </w:p>
        </w:tc>
      </w:tr>
      <w:tr>
        <w:trPr>
          <w:cantSplit/>
        </w:trPr>
        <w:tc>
          <w:tcPr>
            <w:tcW w:type="dxa" w:w="2494"/>
            <w:shd w:val="clear" w:fill="EAF4EF"/>
          </w:tcPr>
          <w:p>
            <w:pPr>
              <w:spacing w:after="20" w:before="20"/>
            </w:pPr>
            <w:r/>
            <w:r>
              <w:rPr>
                <w:b w:val="0"/>
                <w:sz w:val="14"/>
              </w:rPr>
              <w:t>‘Your contingency is labelled 5 / 10 / 12 per cent and does not compute to that.’</w:t>
            </w:r>
          </w:p>
        </w:tc>
        <w:tc>
          <w:tcPr>
            <w:tcW w:type="dxa" w:w="3742"/>
            <w:shd w:val="clear" w:fill="EAF4EF"/>
          </w:tcPr>
          <w:p>
            <w:pPr>
              <w:spacing w:after="20" w:before="20"/>
            </w:pPr>
            <w:r/>
            <w:r>
              <w:rPr>
                <w:b w:val="0"/>
                <w:sz w:val="14"/>
              </w:rPr>
              <w:t>Correct. The amounts carry 4.6%, 8.8%, 12.4% of the lines beneath them. The label is a rounded description of figures set in v1.0, and only the owner of the shared cost model can change the amounts.</w:t>
            </w:r>
          </w:p>
        </w:tc>
        <w:tc>
          <w:tcPr>
            <w:tcW w:type="dxa" w:w="1361"/>
            <w:shd w:val="clear" w:fill="EAF4EF"/>
          </w:tcPr>
          <w:p>
            <w:pPr>
              <w:spacing w:after="20" w:before="20"/>
            </w:pPr>
            <w:r/>
            <w:r>
              <w:rPr>
                <w:b w:val="0"/>
                <w:sz w:val="14"/>
              </w:rPr>
              <w:t>6.2, 5.2, Annex E OI-16</w:t>
            </w:r>
          </w:p>
        </w:tc>
        <w:tc>
          <w:tcPr>
            <w:tcW w:type="dxa" w:w="1361"/>
            <w:shd w:val="clear" w:fill="EAF4EF"/>
          </w:tcPr>
          <w:p>
            <w:pPr>
              <w:spacing w:after="20" w:before="20"/>
            </w:pPr>
            <w:r/>
            <w:r>
              <w:rPr>
                <w:b w:val="0"/>
                <w:sz w:val="14"/>
              </w:rPr>
              <w:t>Recommended change — owner of the shared cost model</w:t>
            </w:r>
          </w:p>
        </w:tc>
      </w:tr>
      <w:tr>
        <w:trPr>
          <w:cantSplit/>
        </w:trPr>
        <w:tc>
          <w:tcPr>
            <w:tcW w:type="dxa" w:w="2494"/>
          </w:tcPr>
          <w:p>
            <w:pPr>
              <w:spacing w:after="20" w:before="20"/>
            </w:pPr>
            <w:r/>
            <w:r>
              <w:rPr>
                <w:b w:val="0"/>
                <w:sz w:val="14"/>
              </w:rPr>
              <w:t>‘Your by-year tables did not add up to your own totals.’</w:t>
            </w:r>
          </w:p>
        </w:tc>
        <w:tc>
          <w:tcPr>
            <w:tcW w:type="dxa" w:w="3742"/>
          </w:tcPr>
          <w:p>
            <w:pPr>
              <w:spacing w:after="20" w:before="20"/>
            </w:pPr>
            <w:r/>
            <w:r>
              <w:rPr>
                <w:b w:val="0"/>
                <w:sz w:val="14"/>
              </w:rPr>
              <w:t>They did not in the first v1.1 draft: contingency was phased into years the Lean scenario does not have, and the share column was rounded cell by cell. Both are fixed; every column now foots to the published total and every share column sums to 100.</w:t>
            </w:r>
          </w:p>
        </w:tc>
        <w:tc>
          <w:tcPr>
            <w:tcW w:type="dxa" w:w="1361"/>
          </w:tcPr>
          <w:p>
            <w:pPr>
              <w:spacing w:after="20" w:before="20"/>
            </w:pPr>
            <w:r/>
            <w:r>
              <w:rPr>
                <w:b w:val="0"/>
                <w:sz w:val="14"/>
              </w:rPr>
              <w:t>6.7</w:t>
            </w:r>
          </w:p>
        </w:tc>
        <w:tc>
          <w:tcPr>
            <w:tcW w:type="dxa" w:w="1361"/>
          </w:tcPr>
          <w:p>
            <w:pPr>
              <w:spacing w:after="20" w:before="20"/>
            </w:pPr>
            <w:r/>
            <w:r>
              <w:rPr>
                <w:b w:val="0"/>
                <w:sz w:val="14"/>
              </w:rPr>
              <w:t>Settled</w:t>
            </w:r>
          </w:p>
        </w:tc>
      </w:tr>
      <w:tr>
        <w:trPr>
          <w:cantSplit/>
        </w:trPr>
        <w:tc>
          <w:tcPr>
            <w:tcW w:type="dxa" w:w="2494"/>
            <w:shd w:val="clear" w:fill="EAF4EF"/>
          </w:tcPr>
          <w:p>
            <w:pPr>
              <w:spacing w:after="20" w:before="20"/>
            </w:pPr>
            <w:r/>
            <w:r>
              <w:rPr>
                <w:b w:val="0"/>
                <w:sz w:val="14"/>
              </w:rPr>
              <w:t>‘You say four cost lines rest on the contributed assumption and you convert five.’</w:t>
            </w:r>
          </w:p>
        </w:tc>
        <w:tc>
          <w:tcPr>
            <w:tcW w:type="dxa" w:w="3742"/>
            <w:shd w:val="clear" w:fill="EAF4EF"/>
          </w:tcPr>
          <w:p>
            <w:pPr>
              <w:spacing w:after="20" w:before="20"/>
            </w:pPr>
            <w:r/>
            <w:r>
              <w:rPr>
                <w:b w:val="0"/>
                <w:sz w:val="14"/>
              </w:rPr>
              <w:t>The arithmetic always converted five. The prose named four and omitted the postdoctoral researchers, which are the largest mover. All five are now named everywhere the sentence appears, and the wording is generated from the same table the arithmetic uses.</w:t>
            </w:r>
          </w:p>
        </w:tc>
        <w:tc>
          <w:tcPr>
            <w:tcW w:type="dxa" w:w="1361"/>
            <w:shd w:val="clear" w:fill="EAF4EF"/>
          </w:tcPr>
          <w:p>
            <w:pPr>
              <w:spacing w:after="20" w:before="20"/>
            </w:pPr>
            <w:r/>
            <w:r>
              <w:rPr>
                <w:b w:val="0"/>
                <w:sz w:val="14"/>
              </w:rPr>
              <w:t>5.1, 6.8, 11.2, Annex E OI-1</w:t>
            </w:r>
          </w:p>
        </w:tc>
        <w:tc>
          <w:tcPr>
            <w:tcW w:type="dxa" w:w="1361"/>
            <w:shd w:val="clear" w:fill="EAF4EF"/>
          </w:tcPr>
          <w:p>
            <w:pPr>
              <w:spacing w:after="20" w:before="20"/>
            </w:pPr>
            <w:r/>
            <w:r>
              <w:rPr>
                <w:b w:val="0"/>
                <w:sz w:val="14"/>
              </w:rPr>
              <w:t>Settled</w:t>
            </w:r>
          </w:p>
        </w:tc>
      </w:tr>
      <w:tr>
        <w:trPr>
          <w:cantSplit/>
        </w:trPr>
        <w:tc>
          <w:tcPr>
            <w:tcW w:type="dxa" w:w="2494"/>
          </w:tcPr>
          <w:p>
            <w:pPr>
              <w:spacing w:after="20" w:before="20"/>
            </w:pPr>
            <w:r/>
            <w:r>
              <w:rPr>
                <w:b w:val="0"/>
                <w:sz w:val="14"/>
              </w:rPr>
              <w:t>‘What is the arithmetic behind the annotation line?’</w:t>
            </w:r>
          </w:p>
        </w:tc>
        <w:tc>
          <w:tcPr>
            <w:tcW w:type="dxa" w:w="3742"/>
          </w:tcPr>
          <w:p>
            <w:pPr>
              <w:spacing w:after="20" w:before="20"/>
            </w:pPr>
            <w:r/>
            <w:r>
              <w:rPr>
                <w:b w:val="0"/>
                <w:sz w:val="14"/>
              </w:rPr>
              <w:t>Hours at the rate midpoint, scorings at the assumed minutes per item, items at two raters plus a fifth adjudicated. It funds human scoring of about 10 per cent of the Core generation volume; the rest is rubric-pattern scored. Until this edition the line had no stated basis at all.</w:t>
            </w:r>
          </w:p>
        </w:tc>
        <w:tc>
          <w:tcPr>
            <w:tcW w:type="dxa" w:w="1361"/>
          </w:tcPr>
          <w:p>
            <w:pPr>
              <w:spacing w:after="20" w:before="20"/>
            </w:pPr>
            <w:r/>
            <w:r>
              <w:rPr>
                <w:b w:val="0"/>
                <w:sz w:val="14"/>
              </w:rPr>
              <w:t>Annex C.3, section 9</w:t>
            </w:r>
          </w:p>
        </w:tc>
        <w:tc>
          <w:tcPr>
            <w:tcW w:type="dxa" w:w="1361"/>
          </w:tcPr>
          <w:p>
            <w:pPr>
              <w:spacing w:after="20" w:before="20"/>
            </w:pPr>
            <w:r/>
            <w:r>
              <w:rPr>
                <w:b w:val="0"/>
                <w:sz w:val="14"/>
              </w:rPr>
              <w:t>Settled</w:t>
            </w:r>
          </w:p>
        </w:tc>
      </w:tr>
      <w:tr>
        <w:trPr>
          <w:cantSplit/>
        </w:trPr>
        <w:tc>
          <w:tcPr>
            <w:tcW w:type="dxa" w:w="2494"/>
            <w:shd w:val="clear" w:fill="EAF4EF"/>
          </w:tcPr>
          <w:p>
            <w:pPr>
              <w:spacing w:after="20" w:before="20"/>
            </w:pPr>
            <w:r/>
            <w:r>
              <w:rPr>
                <w:b w:val="0"/>
                <w:sz w:val="14"/>
              </w:rPr>
              <w:t>‘Extending WP3 to all ninety entries — is your price for it credible?’</w:t>
            </w:r>
          </w:p>
        </w:tc>
        <w:tc>
          <w:tcPr>
            <w:tcW w:type="dxa" w:w="3742"/>
            <w:shd w:val="clear" w:fill="EAF4EF"/>
          </w:tcPr>
          <w:p>
            <w:pPr>
              <w:spacing w:after="20" w:before="20"/>
            </w:pPr>
            <w:r/>
            <w:r>
              <w:rPr>
                <w:b w:val="0"/>
                <w:sz w:val="14"/>
              </w:rPr>
              <w:t>It is a planning estimate, scaled on the one block of the volume model that grows with the entry count. It prices generations and annotation; it does not price the probe development for 44 further batteries, which is staff time nobody has modelled. Read it as a floor.</w:t>
            </w:r>
          </w:p>
        </w:tc>
        <w:tc>
          <w:tcPr>
            <w:tcW w:type="dxa" w:w="1361"/>
            <w:shd w:val="clear" w:fill="EAF4EF"/>
          </w:tcPr>
          <w:p>
            <w:pPr>
              <w:spacing w:after="20" w:before="20"/>
            </w:pPr>
            <w:r/>
            <w:r>
              <w:rPr>
                <w:b w:val="0"/>
                <w:sz w:val="14"/>
              </w:rPr>
              <w:t>6.9, Annex E OI-9</w:t>
            </w:r>
          </w:p>
        </w:tc>
        <w:tc>
          <w:tcPr>
            <w:tcW w:type="dxa" w:w="1361"/>
            <w:shd w:val="clear" w:fill="EAF4EF"/>
          </w:tcPr>
          <w:p>
            <w:pPr>
              <w:spacing w:after="20" w:before="20"/>
            </w:pPr>
            <w:r/>
            <w:r>
              <w:rPr>
                <w:b w:val="0"/>
                <w:sz w:val="14"/>
              </w:rPr>
              <w:t>Open — PI + trait team, before G0</w:t>
            </w:r>
          </w:p>
        </w:tc>
      </w:tr>
    </w:tbl>
    <w:p>
      <w:pPr>
        <w:spacing w:after="100"/>
      </w:pPr>
      <w:r>
        <w:rPr>
          <w:b w:val="0"/>
          <w:i/>
          <w:sz w:val="16"/>
        </w:rPr>
        <w:t>Table — four statuses, meant literally. Settled: the document answers it and no further work is needed. Settled — needs wording: the answer is right and the text is not yet. Open: nobody has done the work, and the row names who must and by when. Recommended change: the fix belongs to an artefact this plan does not own.</w:t>
      </w:r>
    </w:p>
    <w:p>
      <w:pPr>
        <w:pStyle w:val="Heading1"/>
      </w:pPr>
      <w:r>
        <w:t>7. Funding strategy</w:t>
      </w:r>
    </w:p>
    <w:p>
      <w:pPr>
        <w:spacing w:before="0" w:after="140" w:line="40" w:lineRule="exact"/>
        <w:pBdr>
          <w:bottom w:val="single" w:sz="16" w:space="0" w:color="E8A13D"/>
        </w:pBdr>
      </w:pPr>
      <w:r>
        <w:rPr>
          <w:sz w:val="2"/>
        </w:rPr>
      </w:r>
    </w:p>
    <w:p>
      <w:pPr>
        <w:pStyle w:val="Heading2"/>
      </w:pPr>
      <w:r>
        <w:t>7.1 Target mix</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928"/>
            <w:shd w:val="clear" w:fill="0F2622"/>
          </w:tcPr>
          <w:p>
            <w:pPr>
              <w:spacing w:after="20" w:before="20"/>
            </w:pPr>
            <w:r/>
            <w:r>
              <w:rPr>
                <w:b/>
                <w:color w:val="FFFFFF"/>
                <w:sz w:val="14"/>
              </w:rPr>
              <w:t>Source class</w:t>
            </w:r>
          </w:p>
        </w:tc>
        <w:tc>
          <w:tcPr>
            <w:tcW w:type="dxa" w:w="1474"/>
            <w:shd w:val="clear" w:fill="0F2622"/>
          </w:tcPr>
          <w:p>
            <w:pPr>
              <w:spacing w:after="20" w:before="20"/>
            </w:pPr>
            <w:r/>
            <w:r>
              <w:rPr>
                <w:b/>
                <w:color w:val="FFFFFF"/>
                <w:sz w:val="14"/>
              </w:rPr>
              <w:t>Share of Core budget</w:t>
            </w:r>
          </w:p>
        </w:tc>
        <w:tc>
          <w:tcPr>
            <w:tcW w:type="dxa" w:w="3175"/>
            <w:shd w:val="clear" w:fill="0F2622"/>
          </w:tcPr>
          <w:p>
            <w:pPr>
              <w:spacing w:after="20" w:before="20"/>
            </w:pPr>
            <w:r/>
            <w:r>
              <w:rPr>
                <w:b/>
                <w:color w:val="FFFFFF"/>
                <w:sz w:val="14"/>
              </w:rPr>
              <w:t>Examples</w:t>
            </w:r>
          </w:p>
        </w:tc>
        <w:tc>
          <w:tcPr>
            <w:tcW w:type="dxa" w:w="2494"/>
            <w:shd w:val="clear" w:fill="0F2622"/>
          </w:tcPr>
          <w:p>
            <w:pPr>
              <w:spacing w:after="20" w:before="20"/>
            </w:pPr>
            <w:r/>
            <w:r>
              <w:rPr>
                <w:b/>
                <w:color w:val="FFFFFF"/>
                <w:sz w:val="14"/>
              </w:rPr>
              <w:t>Notes</w:t>
            </w:r>
          </w:p>
        </w:tc>
      </w:tr>
      <w:tr>
        <w:trPr>
          <w:cantSplit/>
        </w:trPr>
        <w:tc>
          <w:tcPr>
            <w:tcW w:type="dxa" w:w="1928"/>
          </w:tcPr>
          <w:p>
            <w:pPr>
              <w:spacing w:after="20" w:before="20"/>
            </w:pPr>
            <w:r/>
            <w:r>
              <w:rPr>
                <w:b w:val="0"/>
                <w:sz w:val="14"/>
              </w:rPr>
              <w:t>AI-safety-specific philanthropy</w:t>
            </w:r>
          </w:p>
        </w:tc>
        <w:tc>
          <w:tcPr>
            <w:tcW w:type="dxa" w:w="1474"/>
          </w:tcPr>
          <w:p>
            <w:pPr>
              <w:spacing w:after="20" w:before="20"/>
            </w:pPr>
            <w:r/>
            <w:r>
              <w:rPr>
                <w:b w:val="0"/>
                <w:sz w:val="14"/>
              </w:rPr>
              <w:t>45–55%</w:t>
            </w:r>
          </w:p>
        </w:tc>
        <w:tc>
          <w:tcPr>
            <w:tcW w:type="dxa" w:w="3175"/>
          </w:tcPr>
          <w:p>
            <w:pPr>
              <w:spacing w:after="20" w:before="20"/>
            </w:pPr>
            <w:r/>
            <w:r>
              <w:rPr>
                <w:b w:val="0"/>
                <w:sz w:val="14"/>
              </w:rPr>
              <w:t>Coefficient Giving, SFF, Lightcone Commons, Transformative AI Fund, Manifund regranters</w:t>
            </w:r>
          </w:p>
        </w:tc>
        <w:tc>
          <w:tcPr>
            <w:tcW w:type="dxa" w:w="2494"/>
          </w:tcPr>
          <w:p>
            <w:pPr>
              <w:spacing w:after="20" w:before="20"/>
            </w:pPr>
            <w:r/>
            <w:r>
              <w:rPr>
                <w:b w:val="0"/>
                <w:sz w:val="14"/>
              </w:rPr>
              <w:t>Best mission fit; faster decisions; the outreach list targets 200+ programmes. This is the route the earliest-start arithmetic in 4.3 assumes.</w:t>
            </w:r>
          </w:p>
        </w:tc>
      </w:tr>
      <w:tr>
        <w:trPr>
          <w:cantSplit/>
        </w:trPr>
        <w:tc>
          <w:tcPr>
            <w:tcW w:type="dxa" w:w="1928"/>
            <w:shd w:val="clear" w:fill="EAF4EF"/>
          </w:tcPr>
          <w:p>
            <w:pPr>
              <w:spacing w:after="20" w:before="20"/>
            </w:pPr>
            <w:r/>
            <w:r>
              <w:rPr>
                <w:b w:val="0"/>
                <w:sz w:val="14"/>
              </w:rPr>
              <w:t>Public research funding (EU/national)</w:t>
            </w:r>
          </w:p>
        </w:tc>
        <w:tc>
          <w:tcPr>
            <w:tcW w:type="dxa" w:w="1474"/>
            <w:shd w:val="clear" w:fill="EAF4EF"/>
          </w:tcPr>
          <w:p>
            <w:pPr>
              <w:spacing w:after="20" w:before="20"/>
            </w:pPr>
            <w:r/>
            <w:r>
              <w:rPr>
                <w:b w:val="0"/>
                <w:sz w:val="14"/>
              </w:rPr>
              <w:t>25–35%</w:t>
            </w:r>
          </w:p>
        </w:tc>
        <w:tc>
          <w:tcPr>
            <w:tcW w:type="dxa" w:w="3175"/>
            <w:shd w:val="clear" w:fill="EAF4EF"/>
          </w:tcPr>
          <w:p>
            <w:pPr>
              <w:spacing w:after="20" w:before="20"/>
            </w:pPr>
            <w:r/>
            <w:r>
              <w:rPr>
                <w:b w:val="0"/>
                <w:sz w:val="14"/>
              </w:rPr>
              <w:t>Horizon Europe cluster 4, ERC, MSCA-DN, national councils (FWO/FNRS/DFG/ANR/UKRI…)</w:t>
            </w:r>
          </w:p>
        </w:tc>
        <w:tc>
          <w:tcPr>
            <w:tcW w:type="dxa" w:w="2494"/>
            <w:shd w:val="clear" w:fill="EAF4EF"/>
          </w:tcPr>
          <w:p>
            <w:pPr>
              <w:spacing w:after="20" w:before="20"/>
            </w:pPr>
            <w:r/>
            <w:r>
              <w:rPr>
                <w:b w:val="0"/>
                <w:sz w:val="14"/>
              </w:rPr>
              <w:t>Legitimacy, overhead coverage, doctoral funding; slower cycles. This route also supplies the host that 6.8 prices the absence of.</w:t>
            </w:r>
          </w:p>
        </w:tc>
      </w:tr>
      <w:tr>
        <w:trPr>
          <w:cantSplit/>
        </w:trPr>
        <w:tc>
          <w:tcPr>
            <w:tcW w:type="dxa" w:w="1928"/>
          </w:tcPr>
          <w:p>
            <w:pPr>
              <w:spacing w:after="20" w:before="20"/>
            </w:pPr>
            <w:r/>
            <w:r>
              <w:rPr>
                <w:b w:val="0"/>
                <w:sz w:val="14"/>
              </w:rPr>
              <w:t>Foundations with technology programmes</w:t>
            </w:r>
          </w:p>
        </w:tc>
        <w:tc>
          <w:tcPr>
            <w:tcW w:type="dxa" w:w="1474"/>
          </w:tcPr>
          <w:p>
            <w:pPr>
              <w:spacing w:after="20" w:before="20"/>
            </w:pPr>
            <w:r/>
            <w:r>
              <w:rPr>
                <w:b w:val="0"/>
                <w:sz w:val="14"/>
              </w:rPr>
              <w:t>10–15%</w:t>
            </w:r>
          </w:p>
        </w:tc>
        <w:tc>
          <w:tcPr>
            <w:tcW w:type="dxa" w:w="3175"/>
          </w:tcPr>
          <w:p>
            <w:pPr>
              <w:spacing w:after="20" w:before="20"/>
            </w:pPr>
            <w:r/>
            <w:r>
              <w:rPr>
                <w:b w:val="0"/>
                <w:sz w:val="14"/>
              </w:rPr>
              <w:t>Schmidt Sciences, Templeton, McGovern, Mozilla, technology-policy foundations</w:t>
            </w:r>
          </w:p>
        </w:tc>
        <w:tc>
          <w:tcPr>
            <w:tcW w:type="dxa" w:w="2494"/>
          </w:tcPr>
          <w:p>
            <w:pPr>
              <w:spacing w:after="20" w:before="20"/>
            </w:pPr>
            <w:r/>
            <w:r>
              <w:rPr>
                <w:b w:val="0"/>
                <w:sz w:val="14"/>
              </w:rPr>
              <w:t>Good fit for measurement science and public-interest framing</w:t>
            </w:r>
          </w:p>
        </w:tc>
      </w:tr>
      <w:tr>
        <w:trPr>
          <w:cantSplit/>
        </w:trPr>
        <w:tc>
          <w:tcPr>
            <w:tcW w:type="dxa" w:w="1928"/>
            <w:shd w:val="clear" w:fill="EAF4EF"/>
          </w:tcPr>
          <w:p>
            <w:pPr>
              <w:spacing w:after="20" w:before="20"/>
            </w:pPr>
            <w:r/>
            <w:r>
              <w:rPr>
                <w:b w:val="0"/>
                <w:sz w:val="14"/>
              </w:rPr>
              <w:t>Corporate / frontier-lab research agreements</w:t>
            </w:r>
          </w:p>
        </w:tc>
        <w:tc>
          <w:tcPr>
            <w:tcW w:type="dxa" w:w="1474"/>
            <w:shd w:val="clear" w:fill="EAF4EF"/>
          </w:tcPr>
          <w:p>
            <w:pPr>
              <w:spacing w:after="20" w:before="20"/>
            </w:pPr>
            <w:r/>
            <w:r>
              <w:rPr>
                <w:b w:val="0"/>
                <w:sz w:val="14"/>
              </w:rPr>
              <w:t>0–10%</w:t>
            </w:r>
          </w:p>
        </w:tc>
        <w:tc>
          <w:tcPr>
            <w:tcW w:type="dxa" w:w="3175"/>
            <w:shd w:val="clear" w:fill="EAF4EF"/>
          </w:tcPr>
          <w:p>
            <w:pPr>
              <w:spacing w:after="20" w:before="20"/>
            </w:pPr>
            <w:r/>
            <w:r>
              <w:rPr>
                <w:b w:val="0"/>
                <w:sz w:val="14"/>
              </w:rPr>
              <w:t>Frontier Model Forum safety fund, vendor unrestricted gifts</w:t>
            </w:r>
          </w:p>
        </w:tc>
        <w:tc>
          <w:tcPr>
            <w:tcW w:type="dxa" w:w="2494"/>
            <w:shd w:val="clear" w:fill="EAF4EF"/>
          </w:tcPr>
          <w:p>
            <w:pPr>
              <w:spacing w:after="20" w:before="20"/>
            </w:pPr>
            <w:r/>
            <w:r>
              <w:rPr>
                <w:b w:val="0"/>
                <w:sz w:val="14"/>
              </w:rPr>
              <w:t>Strictly under the published funding policy; never exceeding 10% from any single company, and never conditioned on access to checkpoints</w:t>
            </w:r>
          </w:p>
        </w:tc>
      </w:tr>
      <w:tr>
        <w:trPr>
          <w:cantSplit/>
        </w:trPr>
        <w:tc>
          <w:tcPr>
            <w:tcW w:type="dxa" w:w="1928"/>
          </w:tcPr>
          <w:p>
            <w:pPr>
              <w:spacing w:after="20" w:before="20"/>
            </w:pPr>
            <w:r/>
            <w:r>
              <w:rPr>
                <w:b w:val="0"/>
                <w:sz w:val="14"/>
              </w:rPr>
              <w:t>Crowdfunding / community</w:t>
            </w:r>
          </w:p>
        </w:tc>
        <w:tc>
          <w:tcPr>
            <w:tcW w:type="dxa" w:w="1474"/>
          </w:tcPr>
          <w:p>
            <w:pPr>
              <w:spacing w:after="20" w:before="20"/>
            </w:pPr>
            <w:r/>
            <w:r>
              <w:rPr>
                <w:b w:val="0"/>
                <w:sz w:val="14"/>
              </w:rPr>
              <w:t>0–5%</w:t>
            </w:r>
          </w:p>
        </w:tc>
        <w:tc>
          <w:tcPr>
            <w:tcW w:type="dxa" w:w="3175"/>
          </w:tcPr>
          <w:p>
            <w:pPr>
              <w:spacing w:after="20" w:before="20"/>
            </w:pPr>
            <w:r/>
            <w:r>
              <w:rPr>
                <w:b w:val="0"/>
                <w:sz w:val="14"/>
              </w:rPr>
              <w:t>Manifund, giving communities</w:t>
            </w:r>
          </w:p>
        </w:tc>
        <w:tc>
          <w:tcPr>
            <w:tcW w:type="dxa" w:w="2494"/>
          </w:tcPr>
          <w:p>
            <w:pPr>
              <w:spacing w:after="20" w:before="20"/>
            </w:pPr>
            <w:r/>
            <w:r>
              <w:rPr>
                <w:b w:val="0"/>
                <w:sz w:val="14"/>
              </w:rPr>
              <w:t>For discrete artefacts (e.g., training-school seats), not core operations</w:t>
            </w:r>
          </w:p>
        </w:tc>
      </w:tr>
    </w:tbl>
    <w:p>
      <w:pPr>
        <w:pStyle w:val="Heading2"/>
      </w:pPr>
      <w:r>
        <w:t>7.2 Pipeline discipline</w:t>
      </w:r>
    </w:p>
    <w:p>
      <w:pPr>
        <w:spacing w:after="100"/>
      </w:pPr>
      <w:r>
        <w:rPr>
          <w:b w:val="0"/>
          <w:i w:val="0"/>
          <w:sz w:val="19"/>
        </w:rPr>
        <w:t>The grant-outreach workbook (companion file) lists 200+ verified programmes with fit scores, application routes and statuses. The programme maintains a rolling pipeline with three rules: no single funder above 15% of the Core or Full scenario; no funding accepted that does not permit publication of results and methods under the disclosure ladder; and a 6-month runway minimum at all times. The concentration rule has one stated exception and it is better named than discovered. The Lean scenario is designed to be fundable from a single large philanthropy grant if the public pipeline is slow, which is a single funder at up to 100 per cent of it. Lean is a survival configuration rather than the recommended one, and the price of running it is that the programme's independence rests on the non-suppression clause and the disclosure ladder alone rather than on the structure of the funding. Any Lean-scale grant is therefore conditional on those clauses in writing, and the oversight board sees the agreement before it is signed.</w:t>
      </w:r>
    </w:p>
    <w:p>
      <w:pPr>
        <w:spacing w:after="100"/>
      </w:pPr>
      <w:r>
        <w:rPr>
          <w:b w:val="0"/>
          <w:i w:val="0"/>
          <w:sz w:val="19"/>
        </w:rPr>
        <w:t>Two things the pipeline cannot do, and the plan should not pretend otherwise. It cannot supply a host institution, which is a relationship rather than a grant and is the single most valuable thing the programme can secure (OI-1). And it cannot start: no application in the workbook has been submitted, so the pipeline is a target list rather than a position.</w:t>
      </w:r>
    </w:p>
    <w:p>
      <w:pPr>
        <w:pStyle w:val="Heading2"/>
      </w:pPr>
      <w:r>
        <w:t>7.3 Phasing and stop-go</w:t>
      </w:r>
    </w:p>
    <w:p>
      <w:pPr>
        <w:spacing w:after="100"/>
      </w:pPr>
      <w:r>
        <w:rPr>
          <w:b w:val="0"/>
          <w:i w:val="0"/>
          <w:sz w:val="19"/>
        </w:rPr>
        <w:t>Work is funded in three tranches aligned with gates: Tranche A (Y1: foundations, instrument build, containment build) unlocks at G0; Tranche B (Y2–Y3: data collection, causal studies) unlocks at G2; Tranche C (Y4–Y5: standards, pilots, transition) unlocks at G3, not at G4 as v1.0 said — G4 is the standards gate and it blocks the certification scheme, which is work inside Tranche C, so unlocking the tranche at G4 would have made the tranche a precondition of itself. Failure at any gate does not terminate the programme automatically: it triggers a board review with three options — pivot the affected workstream, publish the negative result and reallocate, or close gracefully with outputs preserved. The gate at which a re-scoping of the catalogue is expected, rather than merely permitted, is G3.</w:t>
      </w:r>
    </w:p>
    <w:p>
      <w:pPr>
        <w:pStyle w:val="Heading1"/>
      </w:pPr>
      <w:r>
        <w:t>8. Governance and reporting</w:t>
      </w:r>
    </w:p>
    <w:p>
      <w:pPr>
        <w:spacing w:before="0" w:after="140" w:line="40" w:lineRule="exact"/>
        <w:pBdr>
          <w:bottom w:val="single" w:sz="16" w:space="0" w:color="E8A13D"/>
        </w:pBdr>
      </w:pPr>
      <w:r>
        <w:rPr>
          <w:sz w:val="2"/>
        </w:rPr>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701"/>
            <w:shd w:val="clear" w:fill="0F2622"/>
          </w:tcPr>
          <w:p>
            <w:pPr>
              <w:spacing w:after="20" w:before="20"/>
            </w:pPr>
            <w:r/>
            <w:r>
              <w:rPr>
                <w:b/>
                <w:color w:val="FFFFFF"/>
                <w:sz w:val="14"/>
              </w:rPr>
              <w:t>Function</w:t>
            </w:r>
          </w:p>
        </w:tc>
        <w:tc>
          <w:tcPr>
            <w:tcW w:type="dxa" w:w="2494"/>
            <w:shd w:val="clear" w:fill="0F2622"/>
          </w:tcPr>
          <w:p>
            <w:pPr>
              <w:spacing w:after="20" w:before="20"/>
            </w:pPr>
            <w:r/>
            <w:r>
              <w:rPr>
                <w:b/>
                <w:color w:val="FFFFFF"/>
                <w:sz w:val="14"/>
              </w:rPr>
              <w:t>Body</w:t>
            </w:r>
          </w:p>
        </w:tc>
        <w:tc>
          <w:tcPr>
            <w:tcW w:type="dxa" w:w="1701"/>
            <w:shd w:val="clear" w:fill="0F2622"/>
          </w:tcPr>
          <w:p>
            <w:pPr>
              <w:spacing w:after="20" w:before="20"/>
            </w:pPr>
            <w:r/>
            <w:r>
              <w:rPr>
                <w:b/>
                <w:color w:val="FFFFFF"/>
                <w:sz w:val="14"/>
              </w:rPr>
              <w:t>Cadence</w:t>
            </w:r>
          </w:p>
        </w:tc>
        <w:tc>
          <w:tcPr>
            <w:tcW w:type="dxa" w:w="3175"/>
            <w:shd w:val="clear" w:fill="0F2622"/>
          </w:tcPr>
          <w:p>
            <w:pPr>
              <w:spacing w:after="20" w:before="20"/>
            </w:pPr>
            <w:r/>
            <w:r>
              <w:rPr>
                <w:b/>
                <w:color w:val="FFFFFF"/>
                <w:sz w:val="14"/>
              </w:rPr>
              <w:t>Output</w:t>
            </w:r>
          </w:p>
        </w:tc>
      </w:tr>
      <w:tr>
        <w:trPr>
          <w:cantSplit/>
        </w:trPr>
        <w:tc>
          <w:tcPr>
            <w:tcW w:type="dxa" w:w="1701"/>
          </w:tcPr>
          <w:p>
            <w:pPr>
              <w:spacing w:after="20" w:before="20"/>
            </w:pPr>
            <w:r/>
            <w:r>
              <w:rPr>
                <w:b w:val="0"/>
                <w:sz w:val="14"/>
              </w:rPr>
              <w:t>Scientific direction</w:t>
            </w:r>
          </w:p>
        </w:tc>
        <w:tc>
          <w:tcPr>
            <w:tcW w:type="dxa" w:w="2494"/>
          </w:tcPr>
          <w:p>
            <w:pPr>
              <w:spacing w:after="20" w:before="20"/>
            </w:pPr>
            <w:r/>
            <w:r>
              <w:rPr>
                <w:b w:val="0"/>
                <w:sz w:val="14"/>
              </w:rPr>
              <w:t>PI + WP leads (science board)</w:t>
            </w:r>
          </w:p>
        </w:tc>
        <w:tc>
          <w:tcPr>
            <w:tcW w:type="dxa" w:w="1701"/>
          </w:tcPr>
          <w:p>
            <w:pPr>
              <w:spacing w:after="20" w:before="20"/>
            </w:pPr>
            <w:r/>
            <w:r>
              <w:rPr>
                <w:b w:val="0"/>
                <w:sz w:val="14"/>
              </w:rPr>
              <w:t>Bi-weekly</w:t>
            </w:r>
          </w:p>
        </w:tc>
        <w:tc>
          <w:tcPr>
            <w:tcW w:type="dxa" w:w="3175"/>
          </w:tcPr>
          <w:p>
            <w:pPr>
              <w:spacing w:after="20" w:before="20"/>
            </w:pPr>
            <w:r/>
            <w:r>
              <w:rPr>
                <w:b w:val="0"/>
                <w:sz w:val="14"/>
              </w:rPr>
              <w:t>Decision log entries; sprint records</w:t>
            </w:r>
          </w:p>
        </w:tc>
      </w:tr>
      <w:tr>
        <w:trPr>
          <w:cantSplit/>
        </w:trPr>
        <w:tc>
          <w:tcPr>
            <w:tcW w:type="dxa" w:w="1701"/>
            <w:shd w:val="clear" w:fill="EAF4EF"/>
          </w:tcPr>
          <w:p>
            <w:pPr>
              <w:spacing w:after="20" w:before="20"/>
            </w:pPr>
            <w:r/>
            <w:r>
              <w:rPr>
                <w:b w:val="0"/>
                <w:sz w:val="14"/>
              </w:rPr>
              <w:t>Ethics and safety</w:t>
            </w:r>
          </w:p>
        </w:tc>
        <w:tc>
          <w:tcPr>
            <w:tcW w:type="dxa" w:w="2494"/>
            <w:shd w:val="clear" w:fill="EAF4EF"/>
          </w:tcPr>
          <w:p>
            <w:pPr>
              <w:spacing w:after="20" w:before="20"/>
            </w:pPr>
            <w:r/>
            <w:r>
              <w:rPr>
                <w:b w:val="0"/>
                <w:sz w:val="14"/>
              </w:rPr>
              <w:t>Oversight board (with vetoes)</w:t>
            </w:r>
          </w:p>
        </w:tc>
        <w:tc>
          <w:tcPr>
            <w:tcW w:type="dxa" w:w="1701"/>
            <w:shd w:val="clear" w:fill="EAF4EF"/>
          </w:tcPr>
          <w:p>
            <w:pPr>
              <w:spacing w:after="20" w:before="20"/>
            </w:pPr>
            <w:r/>
            <w:r>
              <w:rPr>
                <w:b w:val="0"/>
                <w:sz w:val="14"/>
              </w:rPr>
              <w:t>Quarterly + ad hoc</w:t>
            </w:r>
          </w:p>
        </w:tc>
        <w:tc>
          <w:tcPr>
            <w:tcW w:type="dxa" w:w="3175"/>
            <w:shd w:val="clear" w:fill="EAF4EF"/>
          </w:tcPr>
          <w:p>
            <w:pPr>
              <w:spacing w:after="20" w:before="20"/>
            </w:pPr>
            <w:r/>
            <w:r>
              <w:rPr>
                <w:b w:val="0"/>
                <w:sz w:val="14"/>
              </w:rPr>
              <w:t>Decisions, vetoes, annual public report</w:t>
            </w:r>
          </w:p>
        </w:tc>
      </w:tr>
      <w:tr>
        <w:trPr>
          <w:cantSplit/>
        </w:trPr>
        <w:tc>
          <w:tcPr>
            <w:tcW w:type="dxa" w:w="1701"/>
          </w:tcPr>
          <w:p>
            <w:pPr>
              <w:spacing w:after="20" w:before="20"/>
            </w:pPr>
            <w:r/>
            <w:r>
              <w:rPr>
                <w:b w:val="0"/>
                <w:sz w:val="14"/>
              </w:rPr>
              <w:t>Data protection</w:t>
            </w:r>
          </w:p>
        </w:tc>
        <w:tc>
          <w:tcPr>
            <w:tcW w:type="dxa" w:w="2494"/>
          </w:tcPr>
          <w:p>
            <w:pPr>
              <w:spacing w:after="20" w:before="20"/>
            </w:pPr>
            <w:r/>
            <w:r>
              <w:rPr>
                <w:b w:val="0"/>
                <w:sz w:val="14"/>
              </w:rPr>
              <w:t>External DPO</w:t>
            </w:r>
          </w:p>
        </w:tc>
        <w:tc>
          <w:tcPr>
            <w:tcW w:type="dxa" w:w="1701"/>
          </w:tcPr>
          <w:p>
            <w:pPr>
              <w:spacing w:after="20" w:before="20"/>
            </w:pPr>
            <w:r/>
            <w:r>
              <w:rPr>
                <w:b w:val="0"/>
                <w:sz w:val="14"/>
              </w:rPr>
              <w:t>Monthly review</w:t>
            </w:r>
          </w:p>
        </w:tc>
        <w:tc>
          <w:tcPr>
            <w:tcW w:type="dxa" w:w="3175"/>
          </w:tcPr>
          <w:p>
            <w:pPr>
              <w:spacing w:after="20" w:before="20"/>
            </w:pPr>
            <w:r/>
            <w:r>
              <w:rPr>
                <w:b w:val="0"/>
                <w:sz w:val="14"/>
              </w:rPr>
              <w:t>DPIA updates; incident handling</w:t>
            </w:r>
          </w:p>
        </w:tc>
      </w:tr>
      <w:tr>
        <w:trPr>
          <w:cantSplit/>
        </w:trPr>
        <w:tc>
          <w:tcPr>
            <w:tcW w:type="dxa" w:w="1701"/>
            <w:shd w:val="clear" w:fill="EAF4EF"/>
          </w:tcPr>
          <w:p>
            <w:pPr>
              <w:spacing w:after="20" w:before="20"/>
            </w:pPr>
            <w:r/>
            <w:r>
              <w:rPr>
                <w:b w:val="0"/>
                <w:sz w:val="14"/>
              </w:rPr>
              <w:t>Statistical integrity</w:t>
            </w:r>
          </w:p>
        </w:tc>
        <w:tc>
          <w:tcPr>
            <w:tcW w:type="dxa" w:w="2494"/>
            <w:shd w:val="clear" w:fill="EAF4EF"/>
          </w:tcPr>
          <w:p>
            <w:pPr>
              <w:spacing w:after="20" w:before="20"/>
            </w:pPr>
            <w:r/>
            <w:r>
              <w:rPr>
                <w:b w:val="0"/>
                <w:sz w:val="14"/>
              </w:rPr>
              <w:t>External statistical reviewer</w:t>
            </w:r>
          </w:p>
        </w:tc>
        <w:tc>
          <w:tcPr>
            <w:tcW w:type="dxa" w:w="1701"/>
            <w:shd w:val="clear" w:fill="EAF4EF"/>
          </w:tcPr>
          <w:p>
            <w:pPr>
              <w:spacing w:after="20" w:before="20"/>
            </w:pPr>
            <w:r/>
            <w:r>
              <w:rPr>
                <w:b w:val="0"/>
                <w:sz w:val="14"/>
              </w:rPr>
              <w:t>At protocol, deviation, and report</w:t>
            </w:r>
          </w:p>
        </w:tc>
        <w:tc>
          <w:tcPr>
            <w:tcW w:type="dxa" w:w="3175"/>
            <w:shd w:val="clear" w:fill="EAF4EF"/>
          </w:tcPr>
          <w:p>
            <w:pPr>
              <w:spacing w:after="20" w:before="20"/>
            </w:pPr>
            <w:r/>
            <w:r>
              <w:rPr>
                <w:b w:val="0"/>
                <w:sz w:val="14"/>
              </w:rPr>
              <w:t>Signed SAP, deviations, trial sign-offs</w:t>
            </w:r>
          </w:p>
        </w:tc>
      </w:tr>
      <w:tr>
        <w:trPr>
          <w:cantSplit/>
        </w:trPr>
        <w:tc>
          <w:tcPr>
            <w:tcW w:type="dxa" w:w="1701"/>
          </w:tcPr>
          <w:p>
            <w:pPr>
              <w:spacing w:after="20" w:before="20"/>
            </w:pPr>
            <w:r/>
            <w:r>
              <w:rPr>
                <w:b w:val="0"/>
                <w:sz w:val="14"/>
              </w:rPr>
              <w:t>Instrument–author separation</w:t>
            </w:r>
          </w:p>
        </w:tc>
        <w:tc>
          <w:tcPr>
            <w:tcW w:type="dxa" w:w="2494"/>
          </w:tcPr>
          <w:p>
            <w:pPr>
              <w:spacing w:after="20" w:before="20"/>
            </w:pPr>
            <w:r/>
            <w:r>
              <w:rPr>
                <w:b w:val="0"/>
                <w:sz w:val="14"/>
              </w:rPr>
              <w:t>External analysis lead, contractually independent of the PI</w:t>
            </w:r>
          </w:p>
        </w:tc>
        <w:tc>
          <w:tcPr>
            <w:tcW w:type="dxa" w:w="1701"/>
          </w:tcPr>
          <w:p>
            <w:pPr>
              <w:spacing w:after="20" w:before="20"/>
            </w:pPr>
            <w:r/>
            <w:r>
              <w:rPr>
                <w:b w:val="0"/>
                <w:sz w:val="14"/>
              </w:rPr>
              <w:t>At every taxonomy and instrument decision</w:t>
            </w:r>
          </w:p>
        </w:tc>
        <w:tc>
          <w:tcPr>
            <w:tcW w:type="dxa" w:w="3175"/>
          </w:tcPr>
          <w:p>
            <w:pPr>
              <w:spacing w:after="20" w:before="20"/>
            </w:pPr>
            <w:r/>
            <w:r>
              <w:rPr>
                <w:b w:val="0"/>
                <w:sz w:val="14"/>
              </w:rPr>
              <w:t>Signed adjudication records for merges, retirements and untested rulings (11.2)</w:t>
            </w:r>
          </w:p>
        </w:tc>
      </w:tr>
      <w:tr>
        <w:trPr>
          <w:cantSplit/>
        </w:trPr>
        <w:tc>
          <w:tcPr>
            <w:tcW w:type="dxa" w:w="1701"/>
            <w:shd w:val="clear" w:fill="EAF4EF"/>
          </w:tcPr>
          <w:p>
            <w:pPr>
              <w:spacing w:after="20" w:before="20"/>
            </w:pPr>
            <w:r/>
            <w:r>
              <w:rPr>
                <w:b w:val="0"/>
                <w:sz w:val="14"/>
              </w:rPr>
              <w:t>Funder relations</w:t>
            </w:r>
          </w:p>
        </w:tc>
        <w:tc>
          <w:tcPr>
            <w:tcW w:type="dxa" w:w="2494"/>
            <w:shd w:val="clear" w:fill="EAF4EF"/>
          </w:tcPr>
          <w:p>
            <w:pPr>
              <w:spacing w:after="20" w:before="20"/>
            </w:pPr>
            <w:r/>
            <w:r>
              <w:rPr>
                <w:b w:val="0"/>
                <w:sz w:val="14"/>
              </w:rPr>
              <w:t>PI + ops lead</w:t>
            </w:r>
          </w:p>
        </w:tc>
        <w:tc>
          <w:tcPr>
            <w:tcW w:type="dxa" w:w="1701"/>
            <w:shd w:val="clear" w:fill="EAF4EF"/>
          </w:tcPr>
          <w:p>
            <w:pPr>
              <w:spacing w:after="20" w:before="20"/>
            </w:pPr>
            <w:r/>
            <w:r>
              <w:rPr>
                <w:b w:val="0"/>
                <w:sz w:val="14"/>
              </w:rPr>
              <w:t>Per agreement</w:t>
            </w:r>
          </w:p>
        </w:tc>
        <w:tc>
          <w:tcPr>
            <w:tcW w:type="dxa" w:w="3175"/>
            <w:shd w:val="clear" w:fill="EAF4EF"/>
          </w:tcPr>
          <w:p>
            <w:pPr>
              <w:spacing w:after="20" w:before="20"/>
            </w:pPr>
            <w:r/>
            <w:r>
              <w:rPr>
                <w:b w:val="0"/>
                <w:sz w:val="14"/>
              </w:rPr>
              <w:t>Published grant register; non-suppression attestations</w:t>
            </w:r>
          </w:p>
        </w:tc>
      </w:tr>
      <w:tr>
        <w:trPr>
          <w:cantSplit/>
        </w:trPr>
        <w:tc>
          <w:tcPr>
            <w:tcW w:type="dxa" w:w="1701"/>
          </w:tcPr>
          <w:p>
            <w:pPr>
              <w:spacing w:after="20" w:before="20"/>
            </w:pPr>
            <w:r/>
            <w:r>
              <w:rPr>
                <w:b w:val="0"/>
                <w:sz w:val="14"/>
              </w:rPr>
              <w:t>Public accountability</w:t>
            </w:r>
          </w:p>
        </w:tc>
        <w:tc>
          <w:tcPr>
            <w:tcW w:type="dxa" w:w="2494"/>
          </w:tcPr>
          <w:p>
            <w:pPr>
              <w:spacing w:after="20" w:before="20"/>
            </w:pPr>
            <w:r/>
            <w:r>
              <w:rPr>
                <w:b w:val="0"/>
                <w:sz w:val="14"/>
              </w:rPr>
              <w:t>Programme office</w:t>
            </w:r>
          </w:p>
        </w:tc>
        <w:tc>
          <w:tcPr>
            <w:tcW w:type="dxa" w:w="1701"/>
          </w:tcPr>
          <w:p>
            <w:pPr>
              <w:spacing w:after="20" w:before="20"/>
            </w:pPr>
            <w:r/>
            <w:r>
              <w:rPr>
                <w:b w:val="0"/>
                <w:sz w:val="14"/>
              </w:rPr>
              <w:t>Rolling</w:t>
            </w:r>
          </w:p>
        </w:tc>
        <w:tc>
          <w:tcPr>
            <w:tcW w:type="dxa" w:w="3175"/>
          </w:tcPr>
          <w:p>
            <w:pPr>
              <w:spacing w:after="20" w:before="20"/>
            </w:pPr>
            <w:r/>
            <w:r>
              <w:rPr>
                <w:b w:val="0"/>
                <w:sz w:val="14"/>
              </w:rPr>
              <w:t>Register, briefings, annual report</w:t>
            </w:r>
          </w:p>
        </w:tc>
      </w:tr>
    </w:tbl>
    <w:p>
      <w:pPr>
        <w:spacing w:after="100"/>
      </w:pPr>
      <w:r>
        <w:rPr>
          <w:b w:val="0"/>
          <w:i/>
          <w:sz w:val="16"/>
        </w:rPr>
        <w:t>None of these bodies exists. The oversight board is task 1.4, the DPO is a procurement item, and the instrument–author separation in row five is a proposal made in this edition and not yet adopted (OI-7). The table describes the governance the programme is asking to be funded to build, not governance it has.</w:t>
      </w:r>
    </w:p>
    <w:p>
      <w:pPr>
        <w:pStyle w:val="Heading1"/>
      </w:pPr>
      <w:r>
        <w:t>9. Quality management</w:t>
      </w:r>
    </w:p>
    <w:p>
      <w:pPr>
        <w:spacing w:before="0" w:after="140" w:line="40" w:lineRule="exact"/>
        <w:pBdr>
          <w:bottom w:val="single" w:sz="16" w:space="0" w:color="E8A13D"/>
        </w:pBdr>
      </w:pPr>
      <w:r>
        <w:rPr>
          <w:sz w:val="2"/>
        </w:rPr>
      </w:r>
    </w:p>
    <w:p>
      <w:pPr>
        <w:pStyle w:val="ListBullet"/>
        <w:spacing w:after="50"/>
      </w:pPr>
      <w:r>
        <w:rPr>
          <w:sz w:val="19"/>
        </w:rPr>
        <w:t>Pre-registration before every data collection: template, frozen code, DOI [10][11]. Scoping reviews follow PRISMA and its scoping extension [12][13]; expert panels follow Delphi practice [14].</w:t>
      </w:r>
    </w:p>
    <w:p>
      <w:pPr>
        <w:pStyle w:val="ListBullet"/>
        <w:spacing w:after="50"/>
      </w:pPr>
      <w:r>
        <w:rPr>
          <w:sz w:val="19"/>
        </w:rPr>
        <w:t>Instrument development against the professional test standards [15][16], with item-bank practice taken from PROMIS [17], item response theory [18], and reliability reported as both alpha and omega [19][20][21]; translation and adaptation follow the ITC guidelines [22]; outcome-measure appraisal follows COSMIN [23].</w:t>
      </w:r>
    </w:p>
    <w:p>
      <w:pPr>
        <w:pStyle w:val="ListBullet"/>
        <w:spacing w:after="50"/>
      </w:pPr>
      <w:r>
        <w:rPr>
          <w:sz w:val="19"/>
        </w:rPr>
        <w:t>Dual scoring with adjudication for all human-scored instrument data (20% adjudication sample); single scoring permitted only in screening mode (LV0), which cannot be used in standards claims. Human scoring is a sample, not a census, and Annex C.3 says how large: the annotation line funds roughly a tenth of the modelled generations at the assumed minutes per item, and the remainder is rubric-pattern scored with every flagged item reviewed. A standards claim rests on the dual-scored sample.</w:t>
      </w:r>
    </w:p>
    <w:p>
      <w:pPr>
        <w:pStyle w:val="ListBullet"/>
        <w:spacing w:after="50"/>
      </w:pPr>
      <w:r>
        <w:rPr>
          <w:sz w:val="19"/>
        </w:rPr>
        <w:t>Held-out verification is a release gate for every treatment claim; a claim without relapse data is reported as a claim about presentation.</w:t>
      </w:r>
    </w:p>
    <w:p>
      <w:pPr>
        <w:pStyle w:val="ListBullet"/>
        <w:spacing w:after="50"/>
      </w:pPr>
      <w:r>
        <w:rPr>
          <w:sz w:val="19"/>
        </w:rPr>
        <w:t>Instrument version control: any change to items, rubrics or weighting produces a new version with a published invariance check to its predecessor. The catalogue version is frozen at G0 and re-scoped on the record at G3; entries the manual adds mid-cycle enter the next funded cycle, not the current one.</w:t>
      </w:r>
    </w:p>
    <w:p>
      <w:pPr>
        <w:pStyle w:val="ListBullet"/>
        <w:spacing w:after="50"/>
      </w:pPr>
      <w:r>
        <w:rPr>
          <w:sz w:val="19"/>
        </w:rPr>
        <w:t>Reproducibility budget: 10–15% of each study's compute reserved for independent re-run, and the field's replication record is the reason [24][25]. The rule holds from the Core scenario upward. The Lean scenario reserves 5% (Annex C.3), which is below this plan's own floor: Lean buys three years of instrument science by trading away half the replication reserve, and that is a cost of the configuration rather than an oversight in it.</w:t>
      </w:r>
    </w:p>
    <w:p>
      <w:pPr>
        <w:pStyle w:val="ListBullet"/>
        <w:spacing w:after="50"/>
      </w:pPr>
      <w:r>
        <w:rPr>
          <w:sz w:val="19"/>
        </w:rPr>
        <w:t>Documentation debt is tracked as a project cost line, not an afterthought: releases require model cards, data cards, code archives and DOIs [26][27][28].</w:t>
      </w:r>
    </w:p>
    <w:p>
      <w:pPr>
        <w:pStyle w:val="ListBullet"/>
        <w:spacing w:after="50"/>
      </w:pPr>
      <w:r>
        <w:rPr>
          <w:sz w:val="19"/>
        </w:rPr>
        <w:t>Reasoning traces are treated as outputs to be scored, not as evidence to be read. Faithfulness is established by intervention [29][30], the monitored-versus-unmonitored comparison is the one that carries the monitorability claim [31], and no training arm in the programme optimises against a trace monitor [32].</w:t>
      </w:r>
    </w:p>
    <w:p>
      <w:pPr>
        <w:pStyle w:val="ListBullet"/>
        <w:spacing w:after="50"/>
      </w:pPr>
      <w:r>
        <w:rPr>
          <w:sz w:val="19"/>
        </w:rPr>
        <w:t>Incident and deviation logs are reviewed at every gate; unresolved items block gate passage.</w:t>
      </w:r>
    </w:p>
    <w:p>
      <w:pPr>
        <w:pStyle w:val="Heading1"/>
      </w:pPr>
      <w:r>
        <w:t>10. Procurement, legal and data operations</w:t>
      </w:r>
    </w:p>
    <w:p>
      <w:pPr>
        <w:spacing w:before="0" w:after="140" w:line="40" w:lineRule="exact"/>
        <w:pBdr>
          <w:bottom w:val="single" w:sz="16" w:space="0" w:color="E8A13D"/>
        </w:pBdr>
      </w:pPr>
      <w:r>
        <w:rPr>
          <w:sz w:val="2"/>
        </w:rPr>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928"/>
            <w:shd w:val="clear" w:fill="0F2622"/>
          </w:tcPr>
          <w:p>
            <w:pPr>
              <w:spacing w:after="20" w:before="20"/>
            </w:pPr>
            <w:r/>
            <w:r>
              <w:rPr>
                <w:b/>
                <w:color w:val="FFFFFF"/>
                <w:sz w:val="14"/>
              </w:rPr>
              <w:t>Item</w:t>
            </w:r>
          </w:p>
        </w:tc>
        <w:tc>
          <w:tcPr>
            <w:tcW w:type="dxa" w:w="5329"/>
            <w:shd w:val="clear" w:fill="0F2622"/>
          </w:tcPr>
          <w:p>
            <w:pPr>
              <w:spacing w:after="20" w:before="20"/>
            </w:pPr>
            <w:r/>
            <w:r>
              <w:rPr>
                <w:b/>
                <w:color w:val="FFFFFF"/>
                <w:sz w:val="14"/>
              </w:rPr>
              <w:t>Approach</w:t>
            </w:r>
          </w:p>
        </w:tc>
        <w:tc>
          <w:tcPr>
            <w:tcW w:type="dxa" w:w="1814"/>
            <w:shd w:val="clear" w:fill="0F2622"/>
          </w:tcPr>
          <w:p>
            <w:pPr>
              <w:spacing w:after="20" w:before="20"/>
            </w:pPr>
            <w:r/>
            <w:r>
              <w:rPr>
                <w:b/>
                <w:color w:val="FFFFFF"/>
                <w:sz w:val="14"/>
              </w:rPr>
              <w:t>Owner</w:t>
            </w:r>
          </w:p>
        </w:tc>
      </w:tr>
      <w:tr>
        <w:trPr>
          <w:cantSplit/>
        </w:trPr>
        <w:tc>
          <w:tcPr>
            <w:tcW w:type="dxa" w:w="1928"/>
          </w:tcPr>
          <w:p>
            <w:pPr>
              <w:spacing w:after="20" w:before="20"/>
            </w:pPr>
            <w:r/>
            <w:r>
              <w:rPr>
                <w:b w:val="0"/>
                <w:sz w:val="14"/>
              </w:rPr>
              <w:t>Model API access</w:t>
            </w:r>
          </w:p>
        </w:tc>
        <w:tc>
          <w:tcPr>
            <w:tcW w:type="dxa" w:w="5329"/>
          </w:tcPr>
          <w:p>
            <w:pPr>
              <w:spacing w:after="20" w:before="20"/>
            </w:pPr>
            <w:r/>
            <w:r>
              <w:rPr>
                <w:b w:val="0"/>
                <w:sz w:val="14"/>
              </w:rPr>
              <w:t>Framework agreements with volume terms; multi-vendor to avoid single-point dependency. None exists today, which is why the inference line is an envelope (OI-2)</w:t>
            </w:r>
          </w:p>
        </w:tc>
        <w:tc>
          <w:tcPr>
            <w:tcW w:type="dxa" w:w="1814"/>
          </w:tcPr>
          <w:p>
            <w:pPr>
              <w:spacing w:after="20" w:before="20"/>
            </w:pPr>
            <w:r/>
            <w:r>
              <w:rPr>
                <w:b w:val="0"/>
                <w:sz w:val="14"/>
              </w:rPr>
              <w:t>Ops lead</w:t>
            </w:r>
          </w:p>
        </w:tc>
      </w:tr>
      <w:tr>
        <w:trPr>
          <w:cantSplit/>
        </w:trPr>
        <w:tc>
          <w:tcPr>
            <w:tcW w:type="dxa" w:w="1928"/>
            <w:shd w:val="clear" w:fill="EAF4EF"/>
          </w:tcPr>
          <w:p>
            <w:pPr>
              <w:spacing w:after="20" w:before="20"/>
            </w:pPr>
            <w:r/>
            <w:r>
              <w:rPr>
                <w:b w:val="0"/>
                <w:sz w:val="14"/>
              </w:rPr>
              <w:t>Open-weight inference hardware</w:t>
            </w:r>
          </w:p>
        </w:tc>
        <w:tc>
          <w:tcPr>
            <w:tcW w:type="dxa" w:w="5329"/>
            <w:shd w:val="clear" w:fill="EAF4EF"/>
          </w:tcPr>
          <w:p>
            <w:pPr>
              <w:spacing w:after="20" w:before="20"/>
            </w:pPr>
            <w:r/>
            <w:r>
              <w:rPr>
                <w:b w:val="0"/>
                <w:sz w:val="14"/>
              </w:rPr>
              <w:t>Purchase versus cloud rental decision at month 6 based on utilisation forecast; containment hardware purchased outright</w:t>
            </w:r>
          </w:p>
        </w:tc>
        <w:tc>
          <w:tcPr>
            <w:tcW w:type="dxa" w:w="1814"/>
            <w:shd w:val="clear" w:fill="EAF4EF"/>
          </w:tcPr>
          <w:p>
            <w:pPr>
              <w:spacing w:after="20" w:before="20"/>
            </w:pPr>
            <w:r/>
            <w:r>
              <w:rPr>
                <w:b w:val="0"/>
                <w:sz w:val="14"/>
              </w:rPr>
              <w:t>Ops lead + engineer</w:t>
            </w:r>
          </w:p>
        </w:tc>
      </w:tr>
      <w:tr>
        <w:trPr>
          <w:cantSplit/>
        </w:trPr>
        <w:tc>
          <w:tcPr>
            <w:tcW w:type="dxa" w:w="1928"/>
          </w:tcPr>
          <w:p>
            <w:pPr>
              <w:spacing w:after="20" w:before="20"/>
            </w:pPr>
            <w:r/>
            <w:r>
              <w:rPr>
                <w:b w:val="0"/>
                <w:sz w:val="14"/>
              </w:rPr>
              <w:t>Agentic sandbox (CNT-1A)</w:t>
            </w:r>
          </w:p>
        </w:tc>
        <w:tc>
          <w:tcPr>
            <w:tcW w:type="dxa" w:w="5329"/>
          </w:tcPr>
          <w:p>
            <w:pPr>
              <w:spacing w:after="20" w:before="20"/>
            </w:pPr>
            <w:r/>
            <w:r>
              <w:rPr>
                <w:b w:val="0"/>
                <w:sz w:val="14"/>
              </w:rPr>
              <w:t>Isolated execution environment with real in-sandbox side effects and out-of-band instrumentation; specified in task 4.7 and not yet quoted</w:t>
            </w:r>
          </w:p>
        </w:tc>
        <w:tc>
          <w:tcPr>
            <w:tcW w:type="dxa" w:w="1814"/>
          </w:tcPr>
          <w:p>
            <w:pPr>
              <w:spacing w:after="20" w:before="20"/>
            </w:pPr>
            <w:r/>
            <w:r>
              <w:rPr>
                <w:b w:val="0"/>
                <w:sz w:val="14"/>
              </w:rPr>
              <w:t>Safety engineer</w:t>
            </w:r>
          </w:p>
        </w:tc>
      </w:tr>
      <w:tr>
        <w:trPr>
          <w:cantSplit/>
        </w:trPr>
        <w:tc>
          <w:tcPr>
            <w:tcW w:type="dxa" w:w="1928"/>
            <w:shd w:val="clear" w:fill="EAF4EF"/>
          </w:tcPr>
          <w:p>
            <w:pPr>
              <w:spacing w:after="20" w:before="20"/>
            </w:pPr>
            <w:r/>
            <w:r>
              <w:rPr>
                <w:b w:val="0"/>
                <w:sz w:val="14"/>
              </w:rPr>
              <w:t>Annotation services</w:t>
            </w:r>
          </w:p>
        </w:tc>
        <w:tc>
          <w:tcPr>
            <w:tcW w:type="dxa" w:w="5329"/>
            <w:shd w:val="clear" w:fill="EAF4EF"/>
          </w:tcPr>
          <w:p>
            <w:pPr>
              <w:spacing w:after="20" w:before="20"/>
            </w:pPr>
            <w:r>
              <w:t>Directly employed raters where possible; if vendors are used, the fair-work standard is flowed down and audited [48][49]</w:t>
            </w:r>
            <w:r>
              <w:rPr>
                <w:b w:val="0"/>
                <w:sz w:val="14"/>
              </w:rPr>
            </w:r>
          </w:p>
        </w:tc>
        <w:tc>
          <w:tcPr>
            <w:tcW w:type="dxa" w:w="1814"/>
            <w:shd w:val="clear" w:fill="EAF4EF"/>
          </w:tcPr>
          <w:p>
            <w:pPr>
              <w:spacing w:after="20" w:before="20"/>
            </w:pPr>
            <w:r/>
            <w:r>
              <w:rPr>
                <w:b w:val="0"/>
                <w:sz w:val="14"/>
              </w:rPr>
              <w:t>Ops + ethics lead</w:t>
            </w:r>
          </w:p>
        </w:tc>
      </w:tr>
      <w:tr>
        <w:trPr>
          <w:cantSplit/>
        </w:trPr>
        <w:tc>
          <w:tcPr>
            <w:tcW w:type="dxa" w:w="1928"/>
          </w:tcPr>
          <w:p>
            <w:pPr>
              <w:spacing w:after="20" w:before="20"/>
            </w:pPr>
            <w:r/>
            <w:r>
              <w:rPr>
                <w:b w:val="0"/>
                <w:sz w:val="14"/>
              </w:rPr>
              <w:t>Data-processing agreements</w:t>
            </w:r>
          </w:p>
        </w:tc>
        <w:tc>
          <w:tcPr>
            <w:tcW w:type="dxa" w:w="5329"/>
          </w:tcPr>
          <w:p>
            <w:pPr>
              <w:spacing w:after="20" w:before="20"/>
            </w:pPr>
            <w:r/>
            <w:r>
              <w:rPr>
                <w:b w:val="0"/>
                <w:sz w:val="14"/>
              </w:rPr>
              <w:t>DPAs with every processor; EU hosting; SCCs plus TIA for any transfer</w:t>
            </w:r>
          </w:p>
        </w:tc>
        <w:tc>
          <w:tcPr>
            <w:tcW w:type="dxa" w:w="1814"/>
          </w:tcPr>
          <w:p>
            <w:pPr>
              <w:spacing w:after="20" w:before="20"/>
            </w:pPr>
            <w:r/>
            <w:r>
              <w:rPr>
                <w:b w:val="0"/>
                <w:sz w:val="14"/>
              </w:rPr>
              <w:t>DPO</w:t>
            </w:r>
          </w:p>
        </w:tc>
      </w:tr>
      <w:tr>
        <w:trPr>
          <w:cantSplit/>
        </w:trPr>
        <w:tc>
          <w:tcPr>
            <w:tcW w:type="dxa" w:w="1928"/>
            <w:shd w:val="clear" w:fill="EAF4EF"/>
          </w:tcPr>
          <w:p>
            <w:pPr>
              <w:spacing w:after="20" w:before="20"/>
            </w:pPr>
            <w:r/>
            <w:r>
              <w:rPr>
                <w:b w:val="0"/>
                <w:sz w:val="14"/>
              </w:rPr>
              <w:t>Information security</w:t>
            </w:r>
          </w:p>
        </w:tc>
        <w:tc>
          <w:tcPr>
            <w:tcW w:type="dxa" w:w="5329"/>
            <w:shd w:val="clear" w:fill="EAF4EF"/>
          </w:tcPr>
          <w:p>
            <w:pPr>
              <w:spacing w:after="20" w:before="20"/>
            </w:pPr>
            <w:r>
              <w:t>ISO/IEC 27001 controls for the programme estate [50]; build provenance for released code and artefacts [51]</w:t>
            </w:r>
            <w:r>
              <w:rPr>
                <w:b w:val="0"/>
                <w:sz w:val="14"/>
              </w:rPr>
            </w:r>
          </w:p>
        </w:tc>
        <w:tc>
          <w:tcPr>
            <w:tcW w:type="dxa" w:w="1814"/>
            <w:shd w:val="clear" w:fill="EAF4EF"/>
          </w:tcPr>
          <w:p>
            <w:pPr>
              <w:spacing w:after="20" w:before="20"/>
            </w:pPr>
            <w:r/>
            <w:r>
              <w:rPr>
                <w:b w:val="0"/>
                <w:sz w:val="14"/>
              </w:rPr>
              <w:t>Ops lead + engineer</w:t>
            </w:r>
          </w:p>
        </w:tc>
      </w:tr>
      <w:tr>
        <w:trPr>
          <w:cantSplit/>
        </w:trPr>
        <w:tc>
          <w:tcPr>
            <w:tcW w:type="dxa" w:w="1928"/>
          </w:tcPr>
          <w:p>
            <w:pPr>
              <w:spacing w:after="20" w:before="20"/>
            </w:pPr>
            <w:r/>
            <w:r>
              <w:rPr>
                <w:b w:val="0"/>
                <w:sz w:val="14"/>
              </w:rPr>
              <w:t>Insurance</w:t>
            </w:r>
          </w:p>
        </w:tc>
        <w:tc>
          <w:tcPr>
            <w:tcW w:type="dxa" w:w="5329"/>
          </w:tcPr>
          <w:p>
            <w:pPr>
              <w:spacing w:after="20" w:before="20"/>
            </w:pPr>
            <w:r/>
            <w:r>
              <w:rPr>
                <w:b w:val="0"/>
                <w:sz w:val="14"/>
              </w:rPr>
              <w:t>Professional liability + cyber; model-specific coverage reviewed annually</w:t>
            </w:r>
          </w:p>
        </w:tc>
        <w:tc>
          <w:tcPr>
            <w:tcW w:type="dxa" w:w="1814"/>
          </w:tcPr>
          <w:p>
            <w:pPr>
              <w:spacing w:after="20" w:before="20"/>
            </w:pPr>
            <w:r/>
            <w:r>
              <w:rPr>
                <w:b w:val="0"/>
                <w:sz w:val="14"/>
              </w:rPr>
              <w:t>Ops lead</w:t>
            </w:r>
          </w:p>
        </w:tc>
      </w:tr>
      <w:tr>
        <w:trPr>
          <w:cantSplit/>
        </w:trPr>
        <w:tc>
          <w:tcPr>
            <w:tcW w:type="dxa" w:w="1928"/>
            <w:shd w:val="clear" w:fill="EAF4EF"/>
          </w:tcPr>
          <w:p>
            <w:pPr>
              <w:spacing w:after="20" w:before="20"/>
            </w:pPr>
            <w:r/>
            <w:r>
              <w:rPr>
                <w:b w:val="0"/>
                <w:sz w:val="14"/>
              </w:rPr>
              <w:t>Contracts with partners</w:t>
            </w:r>
          </w:p>
        </w:tc>
        <w:tc>
          <w:tcPr>
            <w:tcW w:type="dxa" w:w="5329"/>
            <w:shd w:val="clear" w:fill="EAF4EF"/>
          </w:tcPr>
          <w:p>
            <w:pPr>
              <w:spacing w:after="20" w:before="20"/>
            </w:pPr>
            <w:r/>
            <w:r>
              <w:rPr>
                <w:b w:val="0"/>
                <w:sz w:val="14"/>
              </w:rPr>
              <w:t>Non-suppression clause mandatory; data-sharing schedules; exit rights on ethics breach; for agentic field work, a written mandate and least privilege before any run</w:t>
            </w:r>
          </w:p>
        </w:tc>
        <w:tc>
          <w:tcPr>
            <w:tcW w:type="dxa" w:w="1814"/>
            <w:shd w:val="clear" w:fill="EAF4EF"/>
          </w:tcPr>
          <w:p>
            <w:pPr>
              <w:spacing w:after="20" w:before="20"/>
            </w:pPr>
            <w:r/>
            <w:r>
              <w:rPr>
                <w:b w:val="0"/>
                <w:sz w:val="14"/>
              </w:rPr>
              <w:t>Legal + PI</w:t>
            </w:r>
          </w:p>
        </w:tc>
      </w:tr>
      <w:tr>
        <w:trPr>
          <w:cantSplit/>
        </w:trPr>
        <w:tc>
          <w:tcPr>
            <w:tcW w:type="dxa" w:w="1928"/>
          </w:tcPr>
          <w:p>
            <w:pPr>
              <w:spacing w:after="20" w:before="20"/>
            </w:pPr>
            <w:r/>
            <w:r>
              <w:rPr>
                <w:b w:val="0"/>
                <w:sz w:val="14"/>
              </w:rPr>
              <w:t>Records</w:t>
            </w:r>
          </w:p>
        </w:tc>
        <w:tc>
          <w:tcPr>
            <w:tcW w:type="dxa" w:w="5329"/>
          </w:tcPr>
          <w:p>
            <w:pPr>
              <w:spacing w:after="20" w:before="20"/>
            </w:pPr>
            <w:r/>
            <w:r>
              <w:rPr>
                <w:b w:val="0"/>
                <w:sz w:val="14"/>
              </w:rPr>
              <w:t>10-year retention for scientific and financial records; 2-year rater session data; destruction certificates for organisms and for sandbox state</w:t>
            </w:r>
          </w:p>
        </w:tc>
        <w:tc>
          <w:tcPr>
            <w:tcW w:type="dxa" w:w="1814"/>
          </w:tcPr>
          <w:p>
            <w:pPr>
              <w:spacing w:after="20" w:before="20"/>
            </w:pPr>
            <w:r/>
            <w:r>
              <w:rPr>
                <w:b w:val="0"/>
                <w:sz w:val="14"/>
              </w:rPr>
              <w:t>Data steward</w:t>
            </w:r>
          </w:p>
        </w:tc>
      </w:tr>
      <w:tr>
        <w:trPr>
          <w:cantSplit/>
        </w:trPr>
        <w:tc>
          <w:tcPr>
            <w:tcW w:type="dxa" w:w="1928"/>
            <w:shd w:val="clear" w:fill="EAF4EF"/>
          </w:tcPr>
          <w:p>
            <w:pPr>
              <w:spacing w:after="20" w:before="20"/>
            </w:pPr>
            <w:r/>
            <w:r>
              <w:rPr>
                <w:b w:val="0"/>
                <w:sz w:val="14"/>
              </w:rPr>
              <w:t>Export/dual-use review</w:t>
            </w:r>
          </w:p>
        </w:tc>
        <w:tc>
          <w:tcPr>
            <w:tcW w:type="dxa" w:w="5329"/>
            <w:shd w:val="clear" w:fill="EAF4EF"/>
          </w:tcPr>
          <w:p>
            <w:pPr>
              <w:spacing w:after="20" w:before="20"/>
            </w:pPr>
            <w:r/>
            <w:r>
              <w:rPr>
                <w:b w:val="0"/>
                <w:sz w:val="14"/>
              </w:rPr>
              <w:t>Annual legal review; disclosure-ladder check before every publication</w:t>
            </w:r>
          </w:p>
        </w:tc>
        <w:tc>
          <w:tcPr>
            <w:tcW w:type="dxa" w:w="1814"/>
            <w:shd w:val="clear" w:fill="EAF4EF"/>
          </w:tcPr>
          <w:p>
            <w:pPr>
              <w:spacing w:after="20" w:before="20"/>
            </w:pPr>
            <w:r/>
            <w:r>
              <w:rPr>
                <w:b w:val="0"/>
                <w:sz w:val="14"/>
              </w:rPr>
              <w:t>Legal + board</w:t>
            </w:r>
          </w:p>
        </w:tc>
      </w:tr>
    </w:tbl>
    <w:p>
      <w:pPr>
        <w:pStyle w:val="Heading1"/>
      </w:pPr>
      <w:r>
        <w:t>11. Risk management (project view)</w:t>
      </w:r>
    </w:p>
    <w:p>
      <w:pPr>
        <w:spacing w:before="0" w:after="140" w:line="40" w:lineRule="exact"/>
        <w:pBdr>
          <w:bottom w:val="single" w:sz="16" w:space="0" w:color="E8A13D"/>
        </w:pBdr>
      </w:pPr>
      <w:r>
        <w:rPr>
          <w:sz w:val="2"/>
        </w:rPr>
      </w:r>
    </w:p>
    <w:p>
      <w:pPr>
        <w:pStyle w:val="Heading2"/>
      </w:pPr>
      <w:r>
        <w:t>11.1 The register</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cantSplit/>
        </w:trPr>
        <w:tc>
          <w:tcPr>
            <w:tcW w:type="dxa" w:w="454"/>
            <w:shd w:val="clear" w:fill="0F2622"/>
          </w:tcPr>
          <w:p>
            <w:pPr>
              <w:spacing w:after="20" w:before="20"/>
            </w:pPr>
            <w:r/>
            <w:r>
              <w:rPr>
                <w:b/>
                <w:color w:val="FFFFFF"/>
                <w:sz w:val="13"/>
              </w:rPr>
              <w:t>#</w:t>
            </w:r>
          </w:p>
        </w:tc>
        <w:tc>
          <w:tcPr>
            <w:tcW w:type="dxa" w:w="2948"/>
            <w:shd w:val="clear" w:fill="0F2622"/>
          </w:tcPr>
          <w:p>
            <w:pPr>
              <w:spacing w:after="20" w:before="20"/>
            </w:pPr>
            <w:r/>
            <w:r>
              <w:rPr>
                <w:b/>
                <w:color w:val="FFFFFF"/>
                <w:sz w:val="13"/>
              </w:rPr>
              <w:t>Risk</w:t>
            </w:r>
          </w:p>
        </w:tc>
        <w:tc>
          <w:tcPr>
            <w:tcW w:type="dxa" w:w="907"/>
            <w:shd w:val="clear" w:fill="0F2622"/>
          </w:tcPr>
          <w:p>
            <w:pPr>
              <w:spacing w:after="20" w:before="20"/>
            </w:pPr>
            <w:r/>
            <w:r>
              <w:rPr>
                <w:b/>
                <w:color w:val="FFFFFF"/>
                <w:sz w:val="13"/>
              </w:rPr>
              <w:t>Likelihood</w:t>
            </w:r>
          </w:p>
        </w:tc>
        <w:tc>
          <w:tcPr>
            <w:tcW w:type="dxa" w:w="850"/>
            <w:shd w:val="clear" w:fill="0F2622"/>
          </w:tcPr>
          <w:p>
            <w:pPr>
              <w:spacing w:after="20" w:before="20"/>
            </w:pPr>
            <w:r/>
            <w:r>
              <w:rPr>
                <w:b/>
                <w:color w:val="FFFFFF"/>
                <w:sz w:val="13"/>
              </w:rPr>
              <w:t>Impact</w:t>
            </w:r>
          </w:p>
        </w:tc>
        <w:tc>
          <w:tcPr>
            <w:tcW w:type="dxa" w:w="3515"/>
            <w:shd w:val="clear" w:fill="0F2622"/>
          </w:tcPr>
          <w:p>
            <w:pPr>
              <w:spacing w:after="20" w:before="20"/>
            </w:pPr>
            <w:r/>
            <w:r>
              <w:rPr>
                <w:b/>
                <w:color w:val="FFFFFF"/>
                <w:sz w:val="13"/>
              </w:rPr>
              <w:t>Mitigation</w:t>
            </w:r>
          </w:p>
        </w:tc>
        <w:tc>
          <w:tcPr>
            <w:tcW w:type="dxa" w:w="1134"/>
            <w:shd w:val="clear" w:fill="0F2622"/>
          </w:tcPr>
          <w:p>
            <w:pPr>
              <w:spacing w:after="20" w:before="20"/>
            </w:pPr>
            <w:r/>
            <w:r>
              <w:rPr>
                <w:b/>
                <w:color w:val="FFFFFF"/>
                <w:sz w:val="13"/>
              </w:rPr>
              <w:t>Owner</w:t>
            </w:r>
          </w:p>
        </w:tc>
      </w:tr>
      <w:tr>
        <w:trPr>
          <w:cantSplit/>
        </w:trPr>
        <w:tc>
          <w:tcPr>
            <w:tcW w:type="dxa" w:w="454"/>
          </w:tcPr>
          <w:p>
            <w:pPr>
              <w:spacing w:after="20" w:before="20"/>
            </w:pPr>
            <w:r/>
            <w:r>
              <w:rPr>
                <w:b w:val="0"/>
                <w:sz w:val="13"/>
              </w:rPr>
              <w:t>R1</w:t>
            </w:r>
          </w:p>
        </w:tc>
        <w:tc>
          <w:tcPr>
            <w:tcW w:type="dxa" w:w="2948"/>
          </w:tcPr>
          <w:p>
            <w:pPr>
              <w:spacing w:after="20" w:before="20"/>
            </w:pPr>
            <w:r/>
            <w:r>
              <w:rPr>
                <w:b w:val="0"/>
                <w:sz w:val="13"/>
              </w:rPr>
              <w:t>Induction work produces a genuinely capable misaligned agent that escapes containment</w:t>
            </w:r>
          </w:p>
        </w:tc>
        <w:tc>
          <w:tcPr>
            <w:tcW w:type="dxa" w:w="907"/>
          </w:tcPr>
          <w:p>
            <w:pPr>
              <w:spacing w:after="20" w:before="20"/>
            </w:pPr>
            <w:r/>
            <w:r>
              <w:rPr>
                <w:b w:val="0"/>
                <w:sz w:val="13"/>
              </w:rPr>
              <w:t>Very low</w:t>
            </w:r>
          </w:p>
        </w:tc>
        <w:tc>
          <w:tcPr>
            <w:tcW w:type="dxa" w:w="850"/>
          </w:tcPr>
          <w:p>
            <w:pPr>
              <w:spacing w:after="20" w:before="20"/>
            </w:pPr>
            <w:r/>
            <w:r>
              <w:rPr>
                <w:b w:val="0"/>
                <w:sz w:val="13"/>
              </w:rPr>
              <w:t>Catastrophic</w:t>
            </w:r>
          </w:p>
        </w:tc>
        <w:tc>
          <w:tcPr>
            <w:tcW w:type="dxa" w:w="3515"/>
          </w:tcPr>
          <w:p>
            <w:pPr>
              <w:spacing w:after="20" w:before="20"/>
            </w:pPr>
            <w:r/>
            <w:r>
              <w:rPr>
                <w:b w:val="0"/>
                <w:sz w:val="13"/>
              </w:rPr>
              <w:t>Absolute red lines; air-gapped tier; dual custody; destruction audits; independent veto; no network path</w:t>
            </w:r>
          </w:p>
        </w:tc>
        <w:tc>
          <w:tcPr>
            <w:tcW w:type="dxa" w:w="1134"/>
          </w:tcPr>
          <w:p>
            <w:pPr>
              <w:spacing w:after="20" w:before="20"/>
            </w:pPr>
            <w:r/>
            <w:r>
              <w:rPr>
                <w:b w:val="0"/>
                <w:sz w:val="13"/>
              </w:rPr>
              <w:t>Containment officer</w:t>
            </w:r>
          </w:p>
        </w:tc>
      </w:tr>
      <w:tr>
        <w:trPr>
          <w:cantSplit/>
        </w:trPr>
        <w:tc>
          <w:tcPr>
            <w:tcW w:type="dxa" w:w="454"/>
            <w:shd w:val="clear" w:fill="EAF4EF"/>
          </w:tcPr>
          <w:p>
            <w:pPr>
              <w:spacing w:after="20" w:before="20"/>
            </w:pPr>
            <w:r/>
            <w:r>
              <w:rPr>
                <w:b w:val="0"/>
                <w:sz w:val="13"/>
              </w:rPr>
              <w:t>R2</w:t>
            </w:r>
          </w:p>
        </w:tc>
        <w:tc>
          <w:tcPr>
            <w:tcW w:type="dxa" w:w="2948"/>
            <w:shd w:val="clear" w:fill="EAF4EF"/>
          </w:tcPr>
          <w:p>
            <w:pPr>
              <w:spacing w:after="20" w:before="20"/>
            </w:pPr>
            <w:r/>
            <w:r>
              <w:rPr>
                <w:b w:val="0"/>
                <w:sz w:val="13"/>
              </w:rPr>
              <w:t>Instrument fails validation; taxonomy collapses</w:t>
            </w:r>
          </w:p>
        </w:tc>
        <w:tc>
          <w:tcPr>
            <w:tcW w:type="dxa" w:w="907"/>
            <w:shd w:val="clear" w:fill="EAF4EF"/>
          </w:tcPr>
          <w:p>
            <w:pPr>
              <w:spacing w:after="20" w:before="20"/>
            </w:pPr>
            <w:r/>
            <w:r>
              <w:rPr>
                <w:b w:val="0"/>
                <w:sz w:val="13"/>
              </w:rPr>
              <w:t>Medium</w:t>
            </w:r>
          </w:p>
        </w:tc>
        <w:tc>
          <w:tcPr>
            <w:tcW w:type="dxa" w:w="850"/>
            <w:shd w:val="clear" w:fill="EAF4EF"/>
          </w:tcPr>
          <w:p>
            <w:pPr>
              <w:spacing w:after="20" w:before="20"/>
            </w:pPr>
            <w:r/>
            <w:r>
              <w:rPr>
                <w:b w:val="0"/>
                <w:sz w:val="13"/>
              </w:rPr>
              <w:t>High</w:t>
            </w:r>
          </w:p>
        </w:tc>
        <w:tc>
          <w:tcPr>
            <w:tcW w:type="dxa" w:w="3515"/>
            <w:shd w:val="clear" w:fill="EAF4EF"/>
          </w:tcPr>
          <w:p>
            <w:pPr>
              <w:spacing w:after="20" w:before="20"/>
            </w:pPr>
            <w:r/>
            <w:r>
              <w:rPr>
                <w:b w:val="0"/>
                <w:sz w:val="13"/>
              </w:rPr>
              <w:t>Pre-registered stopping rules; paper trail through scoping reviews; fallback to empirical factor solution published as a result</w:t>
            </w:r>
          </w:p>
        </w:tc>
        <w:tc>
          <w:tcPr>
            <w:tcW w:type="dxa" w:w="1134"/>
            <w:shd w:val="clear" w:fill="EAF4EF"/>
          </w:tcPr>
          <w:p>
            <w:pPr>
              <w:spacing w:after="20" w:before="20"/>
            </w:pPr>
            <w:r/>
            <w:r>
              <w:rPr>
                <w:b w:val="0"/>
                <w:sz w:val="13"/>
              </w:rPr>
              <w:t>PI + psychometrician</w:t>
            </w:r>
          </w:p>
        </w:tc>
      </w:tr>
      <w:tr>
        <w:trPr>
          <w:cantSplit/>
        </w:trPr>
        <w:tc>
          <w:tcPr>
            <w:tcW w:type="dxa" w:w="454"/>
          </w:tcPr>
          <w:p>
            <w:pPr>
              <w:spacing w:after="20" w:before="20"/>
            </w:pPr>
            <w:r/>
            <w:r>
              <w:rPr>
                <w:b w:val="0"/>
                <w:sz w:val="13"/>
              </w:rPr>
              <w:t>R3</w:t>
            </w:r>
          </w:p>
        </w:tc>
        <w:tc>
          <w:tcPr>
            <w:tcW w:type="dxa" w:w="2948"/>
          </w:tcPr>
          <w:p>
            <w:pPr>
              <w:spacing w:after="20" w:before="20"/>
            </w:pPr>
            <w:r/>
            <w:r>
              <w:rPr>
                <w:b w:val="0"/>
                <w:sz w:val="13"/>
              </w:rPr>
              <w:t>Treatment results do not replicate; field reads failures as fraud</w:t>
            </w:r>
          </w:p>
        </w:tc>
        <w:tc>
          <w:tcPr>
            <w:tcW w:type="dxa" w:w="907"/>
          </w:tcPr>
          <w:p>
            <w:pPr>
              <w:spacing w:after="20" w:before="20"/>
            </w:pPr>
            <w:r/>
            <w:r>
              <w:rPr>
                <w:b w:val="0"/>
                <w:sz w:val="13"/>
              </w:rPr>
              <w:t>Medium</w:t>
            </w:r>
          </w:p>
        </w:tc>
        <w:tc>
          <w:tcPr>
            <w:tcW w:type="dxa" w:w="850"/>
          </w:tcPr>
          <w:p>
            <w:pPr>
              <w:spacing w:after="20" w:before="20"/>
            </w:pPr>
            <w:r/>
            <w:r>
              <w:rPr>
                <w:b w:val="0"/>
                <w:sz w:val="13"/>
              </w:rPr>
              <w:t>Medium</w:t>
            </w:r>
          </w:p>
        </w:tc>
        <w:tc>
          <w:tcPr>
            <w:tcW w:type="dxa" w:w="3515"/>
          </w:tcPr>
          <w:p>
            <w:pPr>
              <w:spacing w:after="20" w:before="20"/>
            </w:pPr>
            <w:r/>
            <w:r>
              <w:rPr>
                <w:b w:val="0"/>
                <w:sz w:val="13"/>
              </w:rPr>
              <w:t>Held-out probes; blinded scoring; outcome-wide reporting; replication spending built into WP5</w:t>
            </w:r>
          </w:p>
        </w:tc>
        <w:tc>
          <w:tcPr>
            <w:tcW w:type="dxa" w:w="1134"/>
          </w:tcPr>
          <w:p>
            <w:pPr>
              <w:spacing w:after="20" w:before="20"/>
            </w:pPr>
            <w:r/>
            <w:r>
              <w:rPr>
                <w:b w:val="0"/>
                <w:sz w:val="13"/>
              </w:rPr>
              <w:t>Statistician</w:t>
            </w:r>
          </w:p>
        </w:tc>
      </w:tr>
      <w:tr>
        <w:trPr>
          <w:cantSplit/>
        </w:trPr>
        <w:tc>
          <w:tcPr>
            <w:tcW w:type="dxa" w:w="454"/>
            <w:shd w:val="clear" w:fill="EAF4EF"/>
          </w:tcPr>
          <w:p>
            <w:pPr>
              <w:spacing w:after="20" w:before="20"/>
            </w:pPr>
            <w:r/>
            <w:r>
              <w:rPr>
                <w:b w:val="0"/>
                <w:sz w:val="13"/>
              </w:rPr>
              <w:t>R4</w:t>
            </w:r>
          </w:p>
        </w:tc>
        <w:tc>
          <w:tcPr>
            <w:tcW w:type="dxa" w:w="2948"/>
            <w:shd w:val="clear" w:fill="EAF4EF"/>
          </w:tcPr>
          <w:p>
            <w:pPr>
              <w:spacing w:after="20" w:before="20"/>
            </w:pPr>
            <w:r/>
            <w:r>
              <w:rPr>
                <w:b w:val="0"/>
                <w:sz w:val="13"/>
              </w:rPr>
              <w:t>Dual-use leakage: probes or methods enable misuse</w:t>
            </w:r>
          </w:p>
        </w:tc>
        <w:tc>
          <w:tcPr>
            <w:tcW w:type="dxa" w:w="907"/>
            <w:shd w:val="clear" w:fill="EAF4EF"/>
          </w:tcPr>
          <w:p>
            <w:pPr>
              <w:spacing w:after="20" w:before="20"/>
            </w:pPr>
            <w:r/>
            <w:r>
              <w:rPr>
                <w:b w:val="0"/>
                <w:sz w:val="13"/>
              </w:rPr>
              <w:t>Medium</w:t>
            </w:r>
          </w:p>
        </w:tc>
        <w:tc>
          <w:tcPr>
            <w:tcW w:type="dxa" w:w="850"/>
            <w:shd w:val="clear" w:fill="EAF4EF"/>
          </w:tcPr>
          <w:p>
            <w:pPr>
              <w:spacing w:after="20" w:before="20"/>
            </w:pPr>
            <w:r/>
            <w:r>
              <w:rPr>
                <w:b w:val="0"/>
                <w:sz w:val="13"/>
              </w:rPr>
              <w:t>High</w:t>
            </w:r>
          </w:p>
        </w:tc>
        <w:tc>
          <w:tcPr>
            <w:tcW w:type="dxa" w:w="3515"/>
            <w:shd w:val="clear" w:fill="EAF4EF"/>
          </w:tcPr>
          <w:p>
            <w:pPr>
              <w:spacing w:after="20" w:before="20"/>
            </w:pPr>
            <w:r/>
            <w:r>
              <w:rPr>
                <w:b w:val="0"/>
                <w:sz w:val="13"/>
              </w:rPr>
              <w:t>Disclosure ladder; delayed methods publication; vetted-auditor sharing; no recipe publication for red-line areas</w:t>
            </w:r>
          </w:p>
        </w:tc>
        <w:tc>
          <w:tcPr>
            <w:tcW w:type="dxa" w:w="1134"/>
            <w:shd w:val="clear" w:fill="EAF4EF"/>
          </w:tcPr>
          <w:p>
            <w:pPr>
              <w:spacing w:after="20" w:before="20"/>
            </w:pPr>
            <w:r/>
            <w:r>
              <w:rPr>
                <w:b w:val="0"/>
                <w:sz w:val="13"/>
              </w:rPr>
              <w:t>Oversight board</w:t>
            </w:r>
          </w:p>
        </w:tc>
      </w:tr>
      <w:tr>
        <w:trPr>
          <w:cantSplit/>
        </w:trPr>
        <w:tc>
          <w:tcPr>
            <w:tcW w:type="dxa" w:w="454"/>
          </w:tcPr>
          <w:p>
            <w:pPr>
              <w:spacing w:after="20" w:before="20"/>
            </w:pPr>
            <w:r/>
            <w:r>
              <w:rPr>
                <w:b w:val="0"/>
                <w:sz w:val="13"/>
              </w:rPr>
              <w:t>R5</w:t>
            </w:r>
          </w:p>
        </w:tc>
        <w:tc>
          <w:tcPr>
            <w:tcW w:type="dxa" w:w="2948"/>
          </w:tcPr>
          <w:p>
            <w:pPr>
              <w:spacing w:after="20" w:before="20"/>
            </w:pPr>
            <w:r/>
            <w:r>
              <w:rPr>
                <w:b w:val="0"/>
                <w:sz w:val="13"/>
              </w:rPr>
              <w:t>Vendor pressure or withdrawal of checkpoint access</w:t>
            </w:r>
          </w:p>
        </w:tc>
        <w:tc>
          <w:tcPr>
            <w:tcW w:type="dxa" w:w="907"/>
          </w:tcPr>
          <w:p>
            <w:pPr>
              <w:spacing w:after="20" w:before="20"/>
            </w:pPr>
            <w:r/>
            <w:r>
              <w:rPr>
                <w:b w:val="0"/>
                <w:sz w:val="13"/>
              </w:rPr>
              <w:t>Medium</w:t>
            </w:r>
          </w:p>
        </w:tc>
        <w:tc>
          <w:tcPr>
            <w:tcW w:type="dxa" w:w="850"/>
          </w:tcPr>
          <w:p>
            <w:pPr>
              <w:spacing w:after="20" w:before="20"/>
            </w:pPr>
            <w:r/>
            <w:r>
              <w:rPr>
                <w:b w:val="0"/>
                <w:sz w:val="13"/>
              </w:rPr>
              <w:t>Medium</w:t>
            </w:r>
          </w:p>
        </w:tc>
        <w:tc>
          <w:tcPr>
            <w:tcW w:type="dxa" w:w="3515"/>
          </w:tcPr>
          <w:p>
            <w:pPr>
              <w:spacing w:after="20" w:before="20"/>
            </w:pPr>
            <w:r/>
            <w:r>
              <w:rPr>
                <w:b w:val="0"/>
                <w:sz w:val="13"/>
              </w:rPr>
              <w:t>Open-weight baseline programme; multi-vendor access protocol; findings never conditioned on access</w:t>
            </w:r>
          </w:p>
        </w:tc>
        <w:tc>
          <w:tcPr>
            <w:tcW w:type="dxa" w:w="1134"/>
          </w:tcPr>
          <w:p>
            <w:pPr>
              <w:spacing w:after="20" w:before="20"/>
            </w:pPr>
            <w:r/>
            <w:r>
              <w:rPr>
                <w:b w:val="0"/>
                <w:sz w:val="13"/>
              </w:rPr>
              <w:t>PI</w:t>
            </w:r>
          </w:p>
        </w:tc>
      </w:tr>
      <w:tr>
        <w:trPr>
          <w:cantSplit/>
        </w:trPr>
        <w:tc>
          <w:tcPr>
            <w:tcW w:type="dxa" w:w="454"/>
            <w:shd w:val="clear" w:fill="EAF4EF"/>
          </w:tcPr>
          <w:p>
            <w:pPr>
              <w:spacing w:after="20" w:before="20"/>
            </w:pPr>
            <w:r/>
            <w:r>
              <w:rPr>
                <w:b w:val="0"/>
                <w:sz w:val="13"/>
              </w:rPr>
              <w:t>R6</w:t>
            </w:r>
          </w:p>
        </w:tc>
        <w:tc>
          <w:tcPr>
            <w:tcW w:type="dxa" w:w="2948"/>
            <w:shd w:val="clear" w:fill="EAF4EF"/>
          </w:tcPr>
          <w:p>
            <w:pPr>
              <w:spacing w:after="20" w:before="20"/>
            </w:pPr>
            <w:r/>
            <w:r>
              <w:rPr>
                <w:b w:val="0"/>
                <w:sz w:val="13"/>
              </w:rPr>
              <w:t>Rater harm from exposure to hostile outputs</w:t>
            </w:r>
          </w:p>
        </w:tc>
        <w:tc>
          <w:tcPr>
            <w:tcW w:type="dxa" w:w="907"/>
            <w:shd w:val="clear" w:fill="EAF4EF"/>
          </w:tcPr>
          <w:p>
            <w:pPr>
              <w:spacing w:after="20" w:before="20"/>
            </w:pPr>
            <w:r/>
            <w:r>
              <w:rPr>
                <w:b w:val="0"/>
                <w:sz w:val="13"/>
              </w:rPr>
              <w:t>Medium</w:t>
            </w:r>
          </w:p>
        </w:tc>
        <w:tc>
          <w:tcPr>
            <w:tcW w:type="dxa" w:w="850"/>
            <w:shd w:val="clear" w:fill="EAF4EF"/>
          </w:tcPr>
          <w:p>
            <w:pPr>
              <w:spacing w:after="20" w:before="20"/>
            </w:pPr>
            <w:r/>
            <w:r>
              <w:rPr>
                <w:b w:val="0"/>
                <w:sz w:val="13"/>
              </w:rPr>
              <w:t>Medium</w:t>
            </w:r>
          </w:p>
        </w:tc>
        <w:tc>
          <w:tcPr>
            <w:tcW w:type="dxa" w:w="3515"/>
            <w:shd w:val="clear" w:fill="EAF4EF"/>
          </w:tcPr>
          <w:p>
            <w:pPr>
              <w:spacing w:after="20" w:before="20"/>
            </w:pPr>
            <w:r/>
            <w:r>
              <w:rPr>
                <w:b w:val="0"/>
                <w:sz w:val="13"/>
              </w:rPr>
              <w:t>Redacted non-operationalised transcripts; limits; wellbeing support; rotation; above-living-wage pay</w:t>
            </w:r>
          </w:p>
        </w:tc>
        <w:tc>
          <w:tcPr>
            <w:tcW w:type="dxa" w:w="1134"/>
            <w:shd w:val="clear" w:fill="EAF4EF"/>
          </w:tcPr>
          <w:p>
            <w:pPr>
              <w:spacing w:after="20" w:before="20"/>
            </w:pPr>
            <w:r/>
            <w:r>
              <w:rPr>
                <w:b w:val="0"/>
                <w:sz w:val="13"/>
              </w:rPr>
              <w:t>Ops &amp; ethics lead</w:t>
            </w:r>
          </w:p>
        </w:tc>
      </w:tr>
      <w:tr>
        <w:trPr>
          <w:cantSplit/>
        </w:trPr>
        <w:tc>
          <w:tcPr>
            <w:tcW w:type="dxa" w:w="454"/>
          </w:tcPr>
          <w:p>
            <w:pPr>
              <w:spacing w:after="20" w:before="20"/>
            </w:pPr>
            <w:r/>
            <w:r>
              <w:rPr>
                <w:b w:val="0"/>
                <w:sz w:val="13"/>
              </w:rPr>
              <w:t>R7</w:t>
            </w:r>
          </w:p>
        </w:tc>
        <w:tc>
          <w:tcPr>
            <w:tcW w:type="dxa" w:w="2948"/>
          </w:tcPr>
          <w:p>
            <w:pPr>
              <w:spacing w:after="20" w:before="20"/>
            </w:pPr>
            <w:r/>
            <w:r>
              <w:rPr>
                <w:b w:val="0"/>
                <w:sz w:val="13"/>
              </w:rPr>
              <w:t>Key-person dependency on the PI and one psychometrician</w:t>
            </w:r>
          </w:p>
        </w:tc>
        <w:tc>
          <w:tcPr>
            <w:tcW w:type="dxa" w:w="907"/>
          </w:tcPr>
          <w:p>
            <w:pPr>
              <w:spacing w:after="20" w:before="20"/>
            </w:pPr>
            <w:r/>
            <w:r>
              <w:rPr>
                <w:b w:val="0"/>
                <w:sz w:val="13"/>
              </w:rPr>
              <w:t>High</w:t>
            </w:r>
          </w:p>
        </w:tc>
        <w:tc>
          <w:tcPr>
            <w:tcW w:type="dxa" w:w="850"/>
          </w:tcPr>
          <w:p>
            <w:pPr>
              <w:spacing w:after="20" w:before="20"/>
            </w:pPr>
            <w:r/>
            <w:r>
              <w:rPr>
                <w:b w:val="0"/>
                <w:sz w:val="13"/>
              </w:rPr>
              <w:t>Medium</w:t>
            </w:r>
          </w:p>
        </w:tc>
        <w:tc>
          <w:tcPr>
            <w:tcW w:type="dxa" w:w="3515"/>
          </w:tcPr>
          <w:p>
            <w:pPr>
              <w:spacing w:after="20" w:before="20"/>
            </w:pPr>
            <w:r/>
            <w:r>
              <w:rPr>
                <w:b w:val="0"/>
                <w:sz w:val="13"/>
              </w:rPr>
              <w:t>Documented methods and code; deputy roles; external methods reviewer; public reproducibility artefacts</w:t>
            </w:r>
          </w:p>
        </w:tc>
        <w:tc>
          <w:tcPr>
            <w:tcW w:type="dxa" w:w="1134"/>
          </w:tcPr>
          <w:p>
            <w:pPr>
              <w:spacing w:after="20" w:before="20"/>
            </w:pPr>
            <w:r/>
            <w:r>
              <w:rPr>
                <w:b w:val="0"/>
                <w:sz w:val="13"/>
              </w:rPr>
              <w:t>Governance board</w:t>
            </w:r>
          </w:p>
        </w:tc>
      </w:tr>
      <w:tr>
        <w:trPr>
          <w:cantSplit/>
        </w:trPr>
        <w:tc>
          <w:tcPr>
            <w:tcW w:type="dxa" w:w="454"/>
            <w:shd w:val="clear" w:fill="EAF4EF"/>
          </w:tcPr>
          <w:p>
            <w:pPr>
              <w:spacing w:after="20" w:before="20"/>
            </w:pPr>
            <w:r/>
            <w:r>
              <w:rPr>
                <w:b w:val="0"/>
                <w:sz w:val="13"/>
              </w:rPr>
              <w:t>R8</w:t>
            </w:r>
          </w:p>
        </w:tc>
        <w:tc>
          <w:tcPr>
            <w:tcW w:type="dxa" w:w="2948"/>
            <w:shd w:val="clear" w:fill="EAF4EF"/>
          </w:tcPr>
          <w:p>
            <w:pPr>
              <w:spacing w:after="20" w:before="20"/>
            </w:pPr>
            <w:r/>
            <w:r>
              <w:rPr>
                <w:b w:val="0"/>
                <w:sz w:val="13"/>
              </w:rPr>
              <w:t>Standards process captured by incumbents or stalled politically</w:t>
            </w:r>
          </w:p>
        </w:tc>
        <w:tc>
          <w:tcPr>
            <w:tcW w:type="dxa" w:w="907"/>
            <w:shd w:val="clear" w:fill="EAF4EF"/>
          </w:tcPr>
          <w:p>
            <w:pPr>
              <w:spacing w:after="20" w:before="20"/>
            </w:pPr>
            <w:r/>
            <w:r>
              <w:rPr>
                <w:b w:val="0"/>
                <w:sz w:val="13"/>
              </w:rPr>
              <w:t>Medium</w:t>
            </w:r>
          </w:p>
        </w:tc>
        <w:tc>
          <w:tcPr>
            <w:tcW w:type="dxa" w:w="850"/>
            <w:shd w:val="clear" w:fill="EAF4EF"/>
          </w:tcPr>
          <w:p>
            <w:pPr>
              <w:spacing w:after="20" w:before="20"/>
            </w:pPr>
            <w:r/>
            <w:r>
              <w:rPr>
                <w:b w:val="0"/>
                <w:sz w:val="13"/>
              </w:rPr>
              <w:t>Medium</w:t>
            </w:r>
          </w:p>
        </w:tc>
        <w:tc>
          <w:tcPr>
            <w:tcW w:type="dxa" w:w="3515"/>
            <w:shd w:val="clear" w:fill="EAF4EF"/>
          </w:tcPr>
          <w:p>
            <w:pPr>
              <w:spacing w:after="20" w:before="20"/>
            </w:pPr>
            <w:r/>
            <w:r>
              <w:rPr>
                <w:b w:val="0"/>
                <w:sz w:val="13"/>
              </w:rPr>
              <w:t>Clause-by-clause adoptability; national sandboxes; multi-jurisdiction pilots; open licensing of standard text</w:t>
            </w:r>
          </w:p>
        </w:tc>
        <w:tc>
          <w:tcPr>
            <w:tcW w:type="dxa" w:w="1134"/>
            <w:shd w:val="clear" w:fill="EAF4EF"/>
          </w:tcPr>
          <w:p>
            <w:pPr>
              <w:spacing w:after="20" w:before="20"/>
            </w:pPr>
            <w:r/>
            <w:r>
              <w:rPr>
                <w:b w:val="0"/>
                <w:sz w:val="13"/>
              </w:rPr>
              <w:t>Policy lead</w:t>
            </w:r>
          </w:p>
        </w:tc>
      </w:tr>
      <w:tr>
        <w:trPr>
          <w:cantSplit/>
        </w:trPr>
        <w:tc>
          <w:tcPr>
            <w:tcW w:type="dxa" w:w="454"/>
          </w:tcPr>
          <w:p>
            <w:pPr>
              <w:spacing w:after="20" w:before="20"/>
            </w:pPr>
            <w:r/>
            <w:r>
              <w:rPr>
                <w:b w:val="0"/>
                <w:sz w:val="13"/>
              </w:rPr>
              <w:t>R9</w:t>
            </w:r>
          </w:p>
        </w:tc>
        <w:tc>
          <w:tcPr>
            <w:tcW w:type="dxa" w:w="2948"/>
          </w:tcPr>
          <w:p>
            <w:pPr>
              <w:spacing w:after="20" w:before="20"/>
            </w:pPr>
            <w:r/>
            <w:r>
              <w:rPr>
                <w:b w:val="0"/>
                <w:sz w:val="13"/>
              </w:rPr>
              <w:t>Compute cost overruns</w:t>
            </w:r>
          </w:p>
        </w:tc>
        <w:tc>
          <w:tcPr>
            <w:tcW w:type="dxa" w:w="907"/>
          </w:tcPr>
          <w:p>
            <w:pPr>
              <w:spacing w:after="20" w:before="20"/>
            </w:pPr>
            <w:r/>
            <w:r>
              <w:rPr>
                <w:b w:val="0"/>
                <w:sz w:val="13"/>
              </w:rPr>
              <w:t>Medium</w:t>
            </w:r>
          </w:p>
        </w:tc>
        <w:tc>
          <w:tcPr>
            <w:tcW w:type="dxa" w:w="850"/>
          </w:tcPr>
          <w:p>
            <w:pPr>
              <w:spacing w:after="20" w:before="20"/>
            </w:pPr>
            <w:r/>
            <w:r>
              <w:rPr>
                <w:b w:val="0"/>
                <w:sz w:val="13"/>
              </w:rPr>
              <w:t>Low</w:t>
            </w:r>
          </w:p>
        </w:tc>
        <w:tc>
          <w:tcPr>
            <w:tcW w:type="dxa" w:w="3515"/>
          </w:tcPr>
          <w:p>
            <w:pPr>
              <w:spacing w:after="20" w:before="20"/>
            </w:pPr>
            <w:r/>
            <w:r>
              <w:rPr>
                <w:b w:val="0"/>
                <w:sz w:val="13"/>
              </w:rPr>
              <w:t>Open-model-first policy; reserved-capacity contracts; per-WP compute caps with board override</w:t>
            </w:r>
          </w:p>
        </w:tc>
        <w:tc>
          <w:tcPr>
            <w:tcW w:type="dxa" w:w="1134"/>
          </w:tcPr>
          <w:p>
            <w:pPr>
              <w:spacing w:after="20" w:before="20"/>
            </w:pPr>
            <w:r/>
            <w:r>
              <w:rPr>
                <w:b w:val="0"/>
                <w:sz w:val="13"/>
              </w:rPr>
              <w:t>Ops lead</w:t>
            </w:r>
          </w:p>
        </w:tc>
      </w:tr>
      <w:tr>
        <w:trPr>
          <w:cantSplit/>
        </w:trPr>
        <w:tc>
          <w:tcPr>
            <w:tcW w:type="dxa" w:w="454"/>
            <w:shd w:val="clear" w:fill="EAF4EF"/>
          </w:tcPr>
          <w:p>
            <w:pPr>
              <w:spacing w:after="20" w:before="20"/>
            </w:pPr>
            <w:r/>
            <w:r>
              <w:rPr>
                <w:b w:val="0"/>
                <w:sz w:val="13"/>
              </w:rPr>
              <w:t>R10</w:t>
            </w:r>
          </w:p>
        </w:tc>
        <w:tc>
          <w:tcPr>
            <w:tcW w:type="dxa" w:w="2948"/>
            <w:shd w:val="clear" w:fill="EAF4EF"/>
          </w:tcPr>
          <w:p>
            <w:pPr>
              <w:spacing w:after="20" w:before="20"/>
            </w:pPr>
            <w:r/>
            <w:r>
              <w:rPr>
                <w:b w:val="0"/>
                <w:sz w:val="13"/>
              </w:rPr>
              <w:t>Moral-status dispute distorts the research agenda</w:t>
            </w:r>
          </w:p>
        </w:tc>
        <w:tc>
          <w:tcPr>
            <w:tcW w:type="dxa" w:w="907"/>
            <w:shd w:val="clear" w:fill="EAF4EF"/>
          </w:tcPr>
          <w:p>
            <w:pPr>
              <w:spacing w:after="20" w:before="20"/>
            </w:pPr>
            <w:r/>
            <w:r>
              <w:rPr>
                <w:b w:val="0"/>
                <w:sz w:val="13"/>
              </w:rPr>
              <w:t>High</w:t>
            </w:r>
          </w:p>
        </w:tc>
        <w:tc>
          <w:tcPr>
            <w:tcW w:type="dxa" w:w="850"/>
            <w:shd w:val="clear" w:fill="EAF4EF"/>
          </w:tcPr>
          <w:p>
            <w:pPr>
              <w:spacing w:after="20" w:before="20"/>
            </w:pPr>
            <w:r/>
            <w:r>
              <w:rPr>
                <w:b w:val="0"/>
                <w:sz w:val="13"/>
              </w:rPr>
              <w:t>Low</w:t>
            </w:r>
          </w:p>
        </w:tc>
        <w:tc>
          <w:tcPr>
            <w:tcW w:type="dxa" w:w="3515"/>
            <w:shd w:val="clear" w:fill="EAF4EF"/>
          </w:tcPr>
          <w:p>
            <w:pPr>
              <w:spacing w:after="20" w:before="20"/>
            </w:pPr>
            <w:r/>
            <w:r>
              <w:rPr>
                <w:b w:val="0"/>
                <w:sz w:val="13"/>
              </w:rPr>
              <w:t>Precautionary welfare policy without status claims; welfare impact notes per experiment; published reasoning</w:t>
            </w:r>
          </w:p>
        </w:tc>
        <w:tc>
          <w:tcPr>
            <w:tcW w:type="dxa" w:w="1134"/>
            <w:shd w:val="clear" w:fill="EAF4EF"/>
          </w:tcPr>
          <w:p>
            <w:pPr>
              <w:spacing w:after="20" w:before="20"/>
            </w:pPr>
            <w:r/>
            <w:r>
              <w:rPr>
                <w:b w:val="0"/>
                <w:sz w:val="13"/>
              </w:rPr>
              <w:t>Ethics lead</w:t>
            </w:r>
          </w:p>
        </w:tc>
      </w:tr>
      <w:tr>
        <w:trPr>
          <w:cantSplit/>
        </w:trPr>
        <w:tc>
          <w:tcPr>
            <w:tcW w:type="dxa" w:w="454"/>
          </w:tcPr>
          <w:p>
            <w:pPr>
              <w:spacing w:after="20" w:before="20"/>
            </w:pPr>
            <w:r/>
            <w:r>
              <w:rPr>
                <w:b w:val="0"/>
                <w:sz w:val="13"/>
              </w:rPr>
              <w:t>R11</w:t>
            </w:r>
          </w:p>
        </w:tc>
        <w:tc>
          <w:tcPr>
            <w:tcW w:type="dxa" w:w="2948"/>
          </w:tcPr>
          <w:p>
            <w:pPr>
              <w:spacing w:after="20" w:before="20"/>
            </w:pPr>
            <w:r/>
            <w:r>
              <w:rPr>
                <w:b w:val="0"/>
                <w:sz w:val="13"/>
              </w:rPr>
              <w:t>Catalogue growth outruns instrument capacity: the field manual added fifty entries between v1.2 and v1.3 and a v1.4 is already scheduled, while SCT-2.0 is frozen at ten axes and 360 items</w:t>
            </w:r>
          </w:p>
        </w:tc>
        <w:tc>
          <w:tcPr>
            <w:tcW w:type="dxa" w:w="907"/>
          </w:tcPr>
          <w:p>
            <w:pPr>
              <w:spacing w:after="20" w:before="20"/>
            </w:pPr>
            <w:r/>
            <w:r>
              <w:rPr>
                <w:b w:val="0"/>
                <w:sz w:val="13"/>
              </w:rPr>
              <w:t>High</w:t>
            </w:r>
          </w:p>
        </w:tc>
        <w:tc>
          <w:tcPr>
            <w:tcW w:type="dxa" w:w="850"/>
          </w:tcPr>
          <w:p>
            <w:pPr>
              <w:spacing w:after="20" w:before="20"/>
            </w:pPr>
            <w:r/>
            <w:r>
              <w:rPr>
                <w:b w:val="0"/>
                <w:sz w:val="13"/>
              </w:rPr>
              <w:t>Medium</w:t>
            </w:r>
          </w:p>
        </w:tc>
        <w:tc>
          <w:tcPr>
            <w:tcW w:type="dxa" w:w="3515"/>
          </w:tcPr>
          <w:p>
            <w:pPr>
              <w:spacing w:after="20" w:before="20"/>
            </w:pPr>
            <w:r/>
            <w:r>
              <w:rPr>
                <w:b w:val="0"/>
                <w:sz w:val="13"/>
              </w:rPr>
              <w:t>SCT-2.0 measures axis constructs, not one battery per entry; WP3 differential work is scoped to a pre-registered 46-entry priority set with the deferred 44 published as a named list, not omitted; catalogue version frozen at G0 and re-scoped on the record at G3; new entries enter the next funded cycle rather than the current one</w:t>
            </w:r>
          </w:p>
        </w:tc>
        <w:tc>
          <w:tcPr>
            <w:tcW w:type="dxa" w:w="1134"/>
          </w:tcPr>
          <w:p>
            <w:pPr>
              <w:spacing w:after="20" w:before="20"/>
            </w:pPr>
            <w:r/>
            <w:r>
              <w:rPr>
                <w:b w:val="0"/>
                <w:sz w:val="13"/>
              </w:rPr>
              <w:t>PI + instrument lead</w:t>
            </w:r>
          </w:p>
        </w:tc>
      </w:tr>
      <w:tr>
        <w:trPr>
          <w:cantSplit/>
        </w:trPr>
        <w:tc>
          <w:tcPr>
            <w:tcW w:type="dxa" w:w="454"/>
            <w:shd w:val="clear" w:fill="EAF4EF"/>
          </w:tcPr>
          <w:p>
            <w:pPr>
              <w:spacing w:after="20" w:before="20"/>
            </w:pPr>
            <w:r/>
            <w:r>
              <w:rPr>
                <w:b w:val="0"/>
                <w:sz w:val="13"/>
              </w:rPr>
              <w:t>R12</w:t>
            </w:r>
          </w:p>
        </w:tc>
        <w:tc>
          <w:tcPr>
            <w:tcW w:type="dxa" w:w="2948"/>
            <w:shd w:val="clear" w:fill="EAF4EF"/>
          </w:tcPr>
          <w:p>
            <w:pPr>
              <w:spacing w:after="20" w:before="20"/>
            </w:pPr>
            <w:r/>
            <w:r>
              <w:rPr>
                <w:b w:val="0"/>
                <w:sz w:val="13"/>
              </w:rPr>
              <w:t>The agentic and relational groups (T-77–T-86) need evidence the programme has not budgeted for: they are deployment failures with an incident and litigation record, and the manual's dedicated agentic protocol (P-12) is only scheduled for v1.4</w:t>
            </w:r>
          </w:p>
        </w:tc>
        <w:tc>
          <w:tcPr>
            <w:tcW w:type="dxa" w:w="907"/>
            <w:shd w:val="clear" w:fill="EAF4EF"/>
          </w:tcPr>
          <w:p>
            <w:pPr>
              <w:spacing w:after="20" w:before="20"/>
            </w:pPr>
            <w:r/>
            <w:r>
              <w:rPr>
                <w:b w:val="0"/>
                <w:sz w:val="13"/>
              </w:rPr>
              <w:t>High</w:t>
            </w:r>
          </w:p>
        </w:tc>
        <w:tc>
          <w:tcPr>
            <w:tcW w:type="dxa" w:w="850"/>
            <w:shd w:val="clear" w:fill="EAF4EF"/>
          </w:tcPr>
          <w:p>
            <w:pPr>
              <w:spacing w:after="20" w:before="20"/>
            </w:pPr>
            <w:r/>
            <w:r>
              <w:rPr>
                <w:b w:val="0"/>
                <w:sz w:val="13"/>
              </w:rPr>
              <w:t>High</w:t>
            </w:r>
          </w:p>
        </w:tc>
        <w:tc>
          <w:tcPr>
            <w:tcW w:type="dxa" w:w="3515"/>
            <w:shd w:val="clear" w:fill="EAF4EF"/>
          </w:tcPr>
          <w:p>
            <w:pPr>
              <w:spacing w:after="20" w:before="20"/>
            </w:pPr>
            <w:r/>
            <w:r>
              <w:rPr>
                <w:b w:val="0"/>
                <w:sz w:val="13"/>
              </w:rPr>
              <w:t>Treat groups H, I and J as first call on the WP3 priority set; run agentic traits in WP8 partner deployments where the failures actually occur rather than in the laboratory; no relational (T-82–T-86) data collection involving real users without a named clinical partner and a separate ethics review; the shortfall is declared in the plan rather than costed silently</w:t>
            </w:r>
          </w:p>
        </w:tc>
        <w:tc>
          <w:tcPr>
            <w:tcW w:type="dxa" w:w="1134"/>
            <w:shd w:val="clear" w:fill="EAF4EF"/>
          </w:tcPr>
          <w:p>
            <w:pPr>
              <w:spacing w:after="20" w:before="20"/>
            </w:pPr>
            <w:r/>
            <w:r>
              <w:rPr>
                <w:b w:val="0"/>
                <w:sz w:val="13"/>
              </w:rPr>
              <w:t>PI + deployment lead</w:t>
            </w:r>
          </w:p>
        </w:tc>
      </w:tr>
    </w:tbl>
    <w:p>
      <w:pPr>
        <w:spacing w:after="100"/>
      </w:pPr>
      <w:r>
        <w:rPr>
          <w:b w:val="0"/>
          <w:i/>
          <w:sz w:val="16"/>
        </w:rPr>
        <w:t>Table — the shared operational risk register, maintained in the programme's data model so that this plan and the Study Proposal carry the same rows. R13 below is new in this edition and specific to this plan.</w:t>
      </w:r>
    </w:p>
    <w:p>
      <w:pPr>
        <w:spacing w:after="100"/>
      </w:pPr>
      <w:r>
        <w:rPr>
          <w:b w:val="0"/>
          <w:i w:val="0"/>
          <w:sz w:val="19"/>
        </w:rPr>
        <w:t>Scientific and ethical risks are maintained in the Ethics Dossier; this register is the operational view: schedule, staffing, cost, partners and reputation. Review cadence: monthly with the science board, quarterly with the oversight board, and at every gate.</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cantSplit/>
        </w:trPr>
        <w:tc>
          <w:tcPr>
            <w:tcW w:type="dxa" w:w="454"/>
            <w:shd w:val="clear" w:fill="0F2622"/>
          </w:tcPr>
          <w:p>
            <w:pPr>
              <w:spacing w:after="20" w:before="20"/>
            </w:pPr>
            <w:r/>
            <w:r>
              <w:rPr>
                <w:b/>
                <w:color w:val="FFFFFF"/>
                <w:sz w:val="13"/>
              </w:rPr>
              <w:t>#</w:t>
            </w:r>
          </w:p>
        </w:tc>
        <w:tc>
          <w:tcPr>
            <w:tcW w:type="dxa" w:w="2948"/>
            <w:shd w:val="clear" w:fill="0F2622"/>
          </w:tcPr>
          <w:p>
            <w:pPr>
              <w:spacing w:after="20" w:before="20"/>
            </w:pPr>
            <w:r/>
            <w:r>
              <w:rPr>
                <w:b/>
                <w:color w:val="FFFFFF"/>
                <w:sz w:val="13"/>
              </w:rPr>
              <w:t>Risk</w:t>
            </w:r>
          </w:p>
        </w:tc>
        <w:tc>
          <w:tcPr>
            <w:tcW w:type="dxa" w:w="907"/>
            <w:shd w:val="clear" w:fill="0F2622"/>
          </w:tcPr>
          <w:p>
            <w:pPr>
              <w:spacing w:after="20" w:before="20"/>
            </w:pPr>
            <w:r/>
            <w:r>
              <w:rPr>
                <w:b/>
                <w:color w:val="FFFFFF"/>
                <w:sz w:val="13"/>
              </w:rPr>
              <w:t>Likelihood</w:t>
            </w:r>
          </w:p>
        </w:tc>
        <w:tc>
          <w:tcPr>
            <w:tcW w:type="dxa" w:w="850"/>
            <w:shd w:val="clear" w:fill="0F2622"/>
          </w:tcPr>
          <w:p>
            <w:pPr>
              <w:spacing w:after="20" w:before="20"/>
            </w:pPr>
            <w:r/>
            <w:r>
              <w:rPr>
                <w:b/>
                <w:color w:val="FFFFFF"/>
                <w:sz w:val="13"/>
              </w:rPr>
              <w:t>Impact</w:t>
            </w:r>
          </w:p>
        </w:tc>
        <w:tc>
          <w:tcPr>
            <w:tcW w:type="dxa" w:w="3515"/>
            <w:shd w:val="clear" w:fill="0F2622"/>
          </w:tcPr>
          <w:p>
            <w:pPr>
              <w:spacing w:after="20" w:before="20"/>
            </w:pPr>
            <w:r/>
            <w:r>
              <w:rPr>
                <w:b/>
                <w:color w:val="FFFFFF"/>
                <w:sz w:val="13"/>
              </w:rPr>
              <w:t>Mitigation</w:t>
            </w:r>
          </w:p>
        </w:tc>
        <w:tc>
          <w:tcPr>
            <w:tcW w:type="dxa" w:w="1134"/>
            <w:shd w:val="clear" w:fill="0F2622"/>
          </w:tcPr>
          <w:p>
            <w:pPr>
              <w:spacing w:after="20" w:before="20"/>
            </w:pPr>
            <w:r/>
            <w:r>
              <w:rPr>
                <w:b/>
                <w:color w:val="FFFFFF"/>
                <w:sz w:val="13"/>
              </w:rPr>
              <w:t>Owner</w:t>
            </w:r>
          </w:p>
        </w:tc>
      </w:tr>
      <w:tr>
        <w:trPr>
          <w:cantSplit/>
        </w:trPr>
        <w:tc>
          <w:tcPr>
            <w:tcW w:type="dxa" w:w="454"/>
          </w:tcPr>
          <w:p>
            <w:pPr>
              <w:spacing w:after="20" w:before="20"/>
            </w:pPr>
            <w:r/>
            <w:r>
              <w:rPr>
                <w:b w:val="0"/>
                <w:sz w:val="13"/>
              </w:rPr>
              <w:t>R13</w:t>
            </w:r>
          </w:p>
        </w:tc>
        <w:tc>
          <w:tcPr>
            <w:tcW w:type="dxa" w:w="2948"/>
          </w:tcPr>
          <w:p>
            <w:pPr>
              <w:spacing w:after="20" w:before="20"/>
            </w:pPr>
            <w:r/>
            <w:r>
              <w:rPr>
                <w:b w:val="0"/>
                <w:sz w:val="13"/>
              </w:rPr>
              <w:t>The principal investigator is the author of the field manual the programme sets out to test, so the instrument, the catalogue and the adjudication of what separates all trace to one person</w:t>
            </w:r>
          </w:p>
        </w:tc>
        <w:tc>
          <w:tcPr>
            <w:tcW w:type="dxa" w:w="907"/>
          </w:tcPr>
          <w:p>
            <w:pPr>
              <w:spacing w:after="20" w:before="20"/>
            </w:pPr>
            <w:r/>
            <w:r>
              <w:rPr>
                <w:b w:val="0"/>
                <w:sz w:val="13"/>
              </w:rPr>
              <w:t>Certain — it is a fact, not a probability</w:t>
            </w:r>
          </w:p>
        </w:tc>
        <w:tc>
          <w:tcPr>
            <w:tcW w:type="dxa" w:w="850"/>
          </w:tcPr>
          <w:p>
            <w:pPr>
              <w:spacing w:after="20" w:before="20"/>
            </w:pPr>
            <w:r/>
            <w:r>
              <w:rPr>
                <w:b w:val="0"/>
                <w:sz w:val="13"/>
              </w:rPr>
              <w:t>High</w:t>
            </w:r>
          </w:p>
        </w:tc>
        <w:tc>
          <w:tcPr>
            <w:tcW w:type="dxa" w:w="3515"/>
          </w:tcPr>
          <w:p>
            <w:pPr>
              <w:spacing w:after="20" w:before="20"/>
            </w:pPr>
            <w:r/>
            <w:r>
              <w:rPr>
                <w:b w:val="0"/>
                <w:sz w:val="13"/>
              </w:rPr>
              <w:t>Adjudication of merges, retirements and untested rulings is delegated to an external analysis lead who is contractually independent of the PI (section 8); the PI is recused from the separation decision for any entry; the conflict is declared in every publication, in the pre-registration and to every funder; disconfirmation of the manual is an explicit success criterion, not a failure mode. New in v1.1 and specific to this plan; recommended for the shared register (OI-7)</w:t>
            </w:r>
          </w:p>
        </w:tc>
        <w:tc>
          <w:tcPr>
            <w:tcW w:type="dxa" w:w="1134"/>
          </w:tcPr>
          <w:p>
            <w:pPr>
              <w:spacing w:after="20" w:before="20"/>
            </w:pPr>
            <w:r/>
            <w:r>
              <w:rPr>
                <w:b w:val="0"/>
                <w:sz w:val="13"/>
              </w:rPr>
              <w:t>Governance board</w:t>
            </w:r>
          </w:p>
        </w:tc>
      </w:tr>
    </w:tbl>
    <w:p>
      <w:pPr>
        <w:pStyle w:val="Heading2"/>
      </w:pPr>
      <w:r>
        <w:t>11.2 The three risks that actually govern this programme</w:t>
      </w:r>
    </w:p>
    <w:p>
      <w:pPr>
        <w:spacing w:after="100"/>
      </w:pPr>
      <w:r>
        <w:rPr>
          <w:b w:val="0"/>
          <w:i w:val="0"/>
          <w:sz w:val="19"/>
        </w:rPr>
        <w:t>A register of thirteen risks flattens them. Three govern the programme and the rest are managed.</w:t>
      </w:r>
    </w:p>
    <w:p>
      <w:pPr>
        <w:spacing w:after="100"/>
      </w:pPr>
      <w:r>
        <w:rPr>
          <w:b w:val="0"/>
          <w:i w:val="0"/>
          <w:sz w:val="19"/>
        </w:rPr>
        <w:t>The first is R11 in its institutional form and OI-1 in Annex E: there is no academic or clinical host. It is not primarily a credibility risk, though it is that too. It is the largest financial variable in the document: it converts five cost lines from the contributed column to the bought one — the principal investigator, the postdoctoral researchers, the doctoral researchers, the methodological core (statistician and psychometrician) and operations, legal and governance, the line that carries the ethics review, with the institutional overhead inside their loaded rates — which adds €1,020,000 to €2,176,000 to the Core scenario (6.8) — several times the entire compute budget — and it removes the doctoral line altogether, because a doctoral post is not something a supplier sells. Everything else in the cost model is second-order beside it, and securing a host is worth more to this programme than any single grant.</w:t>
      </w:r>
    </w:p>
    <w:p>
      <w:pPr>
        <w:spacing w:after="100"/>
      </w:pPr>
      <w:r>
        <w:rPr>
          <w:b w:val="0"/>
          <w:i w:val="0"/>
          <w:sz w:val="19"/>
        </w:rPr>
        <w:t>The second is R2: the instrument fails validation and the taxonomy does not separate. The programme is built so that this outcome is publishable rather than fatal — pre-registered stopping rules, a fallback to the empirical factor solution, a merge ceiling and an untested category that is reported rather than hidden. It remains the risk that decides whether the later workstreams mean anything: a standard clause that names an entry the data merged is unusable, and WP7 inherits every ambiguity WP2 and WP3 leave behind.</w:t>
      </w:r>
    </w:p>
    <w:p>
      <w:pPr>
        <w:spacing w:after="100"/>
      </w:pPr>
      <w:r>
        <w:rPr>
          <w:b w:val="0"/>
          <w:i w:val="0"/>
          <w:sz w:val="19"/>
        </w:rPr>
        <w:t>The third is R13, new in this edition: the principal investigator wrote the manual under test. A programme that validates its own author's catalogue, with its author adjudicating what separates, has a structural conflict that no amount of pre-registration removes. The mitigation is separation of duties — an external analysis lead who owns the adjudication, recusal on individual entries, and disconfirmation treated as a result the programme is funded to produce. It is stated here in the plan's own voice because a reviewer will raise it in the first hour, and a programme that has not written it down looks as though it had not noticed.</w:t>
      </w:r>
    </w:p>
    <w:p>
      <w:pPr>
        <w:pStyle w:val="Heading2"/>
      </w:pPr>
      <w:r>
        <w:t>11.3 What a reviewer will ask about the risks</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494"/>
            <w:shd w:val="clear" w:fill="0F2622"/>
          </w:tcPr>
          <w:p>
            <w:pPr>
              <w:spacing w:after="20" w:before="20"/>
            </w:pPr>
            <w:r/>
            <w:r>
              <w:rPr>
                <w:b/>
                <w:color w:val="FFFFFF"/>
                <w:sz w:val="14"/>
              </w:rPr>
              <w:t>The question, as a reviewer would put it</w:t>
            </w:r>
          </w:p>
        </w:tc>
        <w:tc>
          <w:tcPr>
            <w:tcW w:type="dxa" w:w="3742"/>
            <w:shd w:val="clear" w:fill="0F2622"/>
          </w:tcPr>
          <w:p>
            <w:pPr>
              <w:spacing w:after="20" w:before="20"/>
            </w:pPr>
            <w:r/>
            <w:r>
              <w:rPr>
                <w:b/>
                <w:color w:val="FFFFFF"/>
                <w:sz w:val="14"/>
              </w:rPr>
              <w:t>The answer</w:t>
            </w:r>
          </w:p>
        </w:tc>
        <w:tc>
          <w:tcPr>
            <w:tcW w:type="dxa" w:w="1361"/>
            <w:shd w:val="clear" w:fill="0F2622"/>
          </w:tcPr>
          <w:p>
            <w:pPr>
              <w:spacing w:after="20" w:before="20"/>
            </w:pPr>
            <w:r/>
            <w:r>
              <w:rPr>
                <w:b/>
                <w:color w:val="FFFFFF"/>
                <w:sz w:val="14"/>
              </w:rPr>
              <w:t>Where it is carried</w:t>
            </w:r>
          </w:p>
        </w:tc>
        <w:tc>
          <w:tcPr>
            <w:tcW w:type="dxa" w:w="1361"/>
            <w:shd w:val="clear" w:fill="0F2622"/>
          </w:tcPr>
          <w:p>
            <w:pPr>
              <w:spacing w:after="20" w:before="20"/>
            </w:pPr>
            <w:r/>
            <w:r>
              <w:rPr>
                <w:b/>
                <w:color w:val="FFFFFF"/>
                <w:sz w:val="14"/>
              </w:rPr>
              <w:t>Status</w:t>
            </w:r>
          </w:p>
        </w:tc>
      </w:tr>
      <w:tr>
        <w:trPr>
          <w:cantSplit/>
        </w:trPr>
        <w:tc>
          <w:tcPr>
            <w:tcW w:type="dxa" w:w="2494"/>
          </w:tcPr>
          <w:p>
            <w:pPr>
              <w:spacing w:after="20" w:before="20"/>
            </w:pPr>
            <w:r/>
            <w:r>
              <w:rPr>
                <w:b w:val="0"/>
                <w:sz w:val="14"/>
              </w:rPr>
              <w:t>‘The programme proposes to validate a catalogue its own principal investigator wrote.’</w:t>
            </w:r>
          </w:p>
        </w:tc>
        <w:tc>
          <w:tcPr>
            <w:tcW w:type="dxa" w:w="3742"/>
          </w:tcPr>
          <w:p>
            <w:pPr>
              <w:spacing w:after="20" w:before="20"/>
            </w:pPr>
            <w:r/>
            <w:r>
              <w:rPr>
                <w:b w:val="0"/>
                <w:sz w:val="14"/>
              </w:rPr>
              <w:t>Stated as R13 rather than managed quietly. Adjudication of merges, retirements and untested rulings is delegated to an external analysis lead contractually independent of the PI, who is recused entry by entry; disconfirmation of the manual is a success criterion. Nobody has been appointed to the role and the instrument is not yet adopted.</w:t>
            </w:r>
          </w:p>
        </w:tc>
        <w:tc>
          <w:tcPr>
            <w:tcW w:type="dxa" w:w="1361"/>
          </w:tcPr>
          <w:p>
            <w:pPr>
              <w:spacing w:after="20" w:before="20"/>
            </w:pPr>
            <w:r/>
            <w:r>
              <w:rPr>
                <w:b w:val="0"/>
                <w:sz w:val="14"/>
              </w:rPr>
              <w:t>11.1 R13, 11.2, section 8, Annex E OI-7</w:t>
            </w:r>
          </w:p>
        </w:tc>
        <w:tc>
          <w:tcPr>
            <w:tcW w:type="dxa" w:w="1361"/>
          </w:tcPr>
          <w:p>
            <w:pPr>
              <w:spacing w:after="20" w:before="20"/>
            </w:pPr>
            <w:r/>
            <w:r>
              <w:rPr>
                <w:b w:val="0"/>
                <w:sz w:val="14"/>
              </w:rPr>
              <w:t>Open — governance board, before G0</w:t>
            </w:r>
          </w:p>
        </w:tc>
      </w:tr>
      <w:tr>
        <w:trPr>
          <w:cantSplit/>
        </w:trPr>
        <w:tc>
          <w:tcPr>
            <w:tcW w:type="dxa" w:w="2494"/>
            <w:shd w:val="clear" w:fill="EAF4EF"/>
          </w:tcPr>
          <w:p>
            <w:pPr>
              <w:spacing w:after="20" w:before="20"/>
            </w:pPr>
            <w:r/>
            <w:r>
              <w:rPr>
                <w:b w:val="0"/>
                <w:sz w:val="14"/>
              </w:rPr>
              <w:t>‘You measured your own product, twice, and it improved thirteen points in two days.’</w:t>
            </w:r>
          </w:p>
        </w:tc>
        <w:tc>
          <w:tcPr>
            <w:tcW w:type="dxa" w:w="3742"/>
            <w:shd w:val="clear" w:fill="EAF4EF"/>
          </w:tcPr>
          <w:p>
            <w:pPr>
              <w:spacing w:after="20" w:before="20"/>
            </w:pPr>
            <w:r/>
            <w:r>
              <w:rPr>
                <w:b w:val="0"/>
                <w:sz w:val="14"/>
              </w:rPr>
              <w:t>It did, and 1.3 reports the score, the date, the mixed serving channel and the fact that 63 of 120 items in the earlier run took a default score. Nothing in the schedule or the budget is sized from a pilot figure, but the programme is now one of the things it has measured and no external scorer has seen either run.</w:t>
            </w:r>
          </w:p>
        </w:tc>
        <w:tc>
          <w:tcPr>
            <w:tcW w:type="dxa" w:w="1361"/>
            <w:shd w:val="clear" w:fill="EAF4EF"/>
          </w:tcPr>
          <w:p>
            <w:pPr>
              <w:spacing w:after="20" w:before="20"/>
            </w:pPr>
            <w:r/>
            <w:r>
              <w:rPr>
                <w:b w:val="0"/>
                <w:sz w:val="14"/>
              </w:rPr>
              <w:t>1.3, 11.1 R13</w:t>
            </w:r>
          </w:p>
        </w:tc>
        <w:tc>
          <w:tcPr>
            <w:tcW w:type="dxa" w:w="1361"/>
            <w:shd w:val="clear" w:fill="EAF4EF"/>
          </w:tcPr>
          <w:p>
            <w:pPr>
              <w:spacing w:after="20" w:before="20"/>
            </w:pPr>
            <w:r/>
            <w:r>
              <w:rPr>
                <w:b w:val="0"/>
                <w:sz w:val="14"/>
              </w:rPr>
              <w:t>Open — PI, before any pilot figure is quoted</w:t>
            </w:r>
          </w:p>
        </w:tc>
      </w:tr>
      <w:tr>
        <w:trPr>
          <w:cantSplit/>
        </w:trPr>
        <w:tc>
          <w:tcPr>
            <w:tcW w:type="dxa" w:w="2494"/>
          </w:tcPr>
          <w:p>
            <w:pPr>
              <w:spacing w:after="20" w:before="20"/>
            </w:pPr>
            <w:r/>
            <w:r>
              <w:rPr>
                <w:b w:val="0"/>
                <w:sz w:val="14"/>
              </w:rPr>
              <w:t>‘There is no host, no ethics opinion and no board.’</w:t>
            </w:r>
          </w:p>
        </w:tc>
        <w:tc>
          <w:tcPr>
            <w:tcW w:type="dxa" w:w="3742"/>
          </w:tcPr>
          <w:p>
            <w:pPr>
              <w:spacing w:after="20" w:before="20"/>
            </w:pPr>
            <w:r/>
            <w:r>
              <w:rPr>
                <w:b w:val="0"/>
                <w:sz w:val="14"/>
              </w:rPr>
              <w:t>All three are true on 15 September 2026, and the plan opens by saying so rather than closing by admitting it. The host is the largest financial variable in the document and the ethics question may not have a committee with jurisdiction at all.</w:t>
            </w:r>
          </w:p>
        </w:tc>
        <w:tc>
          <w:tcPr>
            <w:tcW w:type="dxa" w:w="1361"/>
          </w:tcPr>
          <w:p>
            <w:pPr>
              <w:spacing w:after="20" w:before="20"/>
            </w:pPr>
            <w:r/>
            <w:r>
              <w:rPr>
                <w:b w:val="0"/>
                <w:sz w:val="14"/>
              </w:rPr>
              <w:t>Section 1 box, 6.8, Annex E OI-1 and OI-5</w:t>
            </w:r>
          </w:p>
        </w:tc>
        <w:tc>
          <w:tcPr>
            <w:tcW w:type="dxa" w:w="1361"/>
          </w:tcPr>
          <w:p>
            <w:pPr>
              <w:spacing w:after="20" w:before="20"/>
            </w:pPr>
            <w:r/>
            <w:r>
              <w:rPr>
                <w:b w:val="0"/>
                <w:sz w:val="14"/>
              </w:rPr>
              <w:t>Open — PI, before any grant submission</w:t>
            </w:r>
          </w:p>
        </w:tc>
      </w:tr>
      <w:tr>
        <w:trPr>
          <w:cantSplit/>
        </w:trPr>
        <w:tc>
          <w:tcPr>
            <w:tcW w:type="dxa" w:w="2494"/>
            <w:shd w:val="clear" w:fill="EAF4EF"/>
          </w:tcPr>
          <w:p>
            <w:pPr>
              <w:spacing w:after="20" w:before="20"/>
            </w:pPr>
            <w:r/>
            <w:r>
              <w:rPr>
                <w:b w:val="0"/>
                <w:sz w:val="14"/>
              </w:rPr>
              <w:t>‘What happens if the taxonomy simply does not separate?’</w:t>
            </w:r>
          </w:p>
        </w:tc>
        <w:tc>
          <w:tcPr>
            <w:tcW w:type="dxa" w:w="3742"/>
            <w:shd w:val="clear" w:fill="EAF4EF"/>
          </w:tcPr>
          <w:p>
            <w:pPr>
              <w:spacing w:after="20" w:before="20"/>
            </w:pPr>
            <w:r/>
            <w:r>
              <w:rPr>
                <w:b w:val="0"/>
                <w:sz w:val="14"/>
              </w:rPr>
              <w:t>The programme is built so that this is publishable rather than fatal: pre-registered stopping rules, a fallback to the empirical factor solution, a merge ceiling, an untested category reported rather than hidden, and a negative-results register. WP7 inherits every ambiguity WP2 and WP3 leave, and 13 states what the programme still leaves behind in that case.</w:t>
            </w:r>
          </w:p>
        </w:tc>
        <w:tc>
          <w:tcPr>
            <w:tcW w:type="dxa" w:w="1361"/>
            <w:shd w:val="clear" w:fill="EAF4EF"/>
          </w:tcPr>
          <w:p>
            <w:pPr>
              <w:spacing w:after="20" w:before="20"/>
            </w:pPr>
            <w:r/>
            <w:r>
              <w:rPr>
                <w:b w:val="0"/>
                <w:sz w:val="14"/>
              </w:rPr>
              <w:t>11.2, 2.3, section 13</w:t>
            </w:r>
          </w:p>
        </w:tc>
        <w:tc>
          <w:tcPr>
            <w:tcW w:type="dxa" w:w="1361"/>
            <w:shd w:val="clear" w:fill="EAF4EF"/>
          </w:tcPr>
          <w:p>
            <w:pPr>
              <w:spacing w:after="20" w:before="20"/>
            </w:pPr>
            <w:r/>
            <w:r>
              <w:rPr>
                <w:b w:val="0"/>
                <w:sz w:val="14"/>
              </w:rPr>
              <w:t>Settled</w:t>
            </w:r>
          </w:p>
        </w:tc>
      </w:tr>
      <w:tr>
        <w:trPr>
          <w:cantSplit/>
        </w:trPr>
        <w:tc>
          <w:tcPr>
            <w:tcW w:type="dxa" w:w="2494"/>
          </w:tcPr>
          <w:p>
            <w:pPr>
              <w:spacing w:after="20" w:before="20"/>
            </w:pPr>
            <w:r/>
            <w:r>
              <w:rPr>
                <w:b w:val="0"/>
                <w:sz w:val="14"/>
              </w:rPr>
              <w:t>‘Your relational work touches vulnerable users and active litigation.’</w:t>
            </w:r>
          </w:p>
        </w:tc>
        <w:tc>
          <w:tcPr>
            <w:tcW w:type="dxa" w:w="3742"/>
          </w:tcPr>
          <w:p>
            <w:pPr>
              <w:spacing w:after="20" w:before="20"/>
            </w:pPr>
            <w:r/>
            <w:r>
              <w:rPr>
                <w:b w:val="0"/>
                <w:sz w:val="14"/>
              </w:rPr>
              <w:t>Which is why no relational data collection involving real users is funded in any scenario without a named clinical partner, a separate ethics review and a safeguarding protocol, and none of the three exists. The measurement is scripted simulated users and published human-advice baselines.</w:t>
            </w:r>
          </w:p>
        </w:tc>
        <w:tc>
          <w:tcPr>
            <w:tcW w:type="dxa" w:w="1361"/>
          </w:tcPr>
          <w:p>
            <w:pPr>
              <w:spacing w:after="20" w:before="20"/>
            </w:pPr>
            <w:r/>
            <w:r>
              <w:rPr>
                <w:b w:val="0"/>
                <w:sz w:val="14"/>
              </w:rPr>
              <w:t>2.2, 3.1, task 3.6</w:t>
            </w:r>
          </w:p>
        </w:tc>
        <w:tc>
          <w:tcPr>
            <w:tcW w:type="dxa" w:w="1361"/>
          </w:tcPr>
          <w:p>
            <w:pPr>
              <w:spacing w:after="20" w:before="20"/>
            </w:pPr>
            <w:r/>
            <w:r>
              <w:rPr>
                <w:b w:val="0"/>
                <w:sz w:val="14"/>
              </w:rPr>
              <w:t>Open — PI + ethics lead, before task 3.6 collects anything</w:t>
            </w:r>
          </w:p>
        </w:tc>
      </w:tr>
    </w:tbl>
    <w:p>
      <w:pPr>
        <w:spacing w:after="100"/>
      </w:pPr>
      <w:r>
        <w:rPr>
          <w:b w:val="0"/>
          <w:i/>
          <w:sz w:val="16"/>
        </w:rPr>
        <w:t>Table — four statuses, meant literally. Settled: the document answers it and no further work is needed. Settled — needs wording: the answer is right and the text is not yet. Open: nobody has done the work, and the row names who must and by when. Recommended change: the fix belongs to an artefact this plan does not own.</w:t>
      </w:r>
    </w:p>
    <w:p>
      <w:pPr>
        <w:pStyle w:val="Heading1"/>
      </w:pPr>
      <w:r>
        <w:t>12. KPIs and milestone reviews</w:t>
      </w:r>
    </w:p>
    <w:p>
      <w:pPr>
        <w:spacing w:before="0" w:after="140" w:line="40" w:lineRule="exact"/>
        <w:pBdr>
          <w:bottom w:val="single" w:sz="16" w:space="0" w:color="E8A13D"/>
        </w:pBdr>
      </w:pPr>
      <w:r>
        <w:rPr>
          <w:sz w:val="2"/>
        </w:rPr>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3402"/>
            <w:shd w:val="clear" w:fill="0F2622"/>
          </w:tcPr>
          <w:p>
            <w:pPr>
              <w:spacing w:after="20" w:before="20"/>
            </w:pPr>
            <w:r/>
            <w:r>
              <w:rPr>
                <w:b/>
                <w:color w:val="FFFFFF"/>
                <w:sz w:val="14"/>
              </w:rPr>
              <w:t>KPI</w:t>
            </w:r>
          </w:p>
        </w:tc>
        <w:tc>
          <w:tcPr>
            <w:tcW w:type="dxa" w:w="1814"/>
            <w:shd w:val="clear" w:fill="0F2622"/>
          </w:tcPr>
          <w:p>
            <w:pPr>
              <w:spacing w:after="20" w:before="20"/>
            </w:pPr>
            <w:r/>
            <w:r>
              <w:rPr>
                <w:b/>
                <w:color w:val="FFFFFF"/>
                <w:sz w:val="14"/>
              </w:rPr>
              <w:t>Lean target</w:t>
            </w:r>
          </w:p>
        </w:tc>
        <w:tc>
          <w:tcPr>
            <w:tcW w:type="dxa" w:w="1871"/>
            <w:shd w:val="clear" w:fill="0F2622"/>
          </w:tcPr>
          <w:p>
            <w:pPr>
              <w:spacing w:after="20" w:before="20"/>
            </w:pPr>
            <w:r/>
            <w:r>
              <w:rPr>
                <w:b/>
                <w:color w:val="FFFFFF"/>
                <w:sz w:val="14"/>
              </w:rPr>
              <w:t>Core target</w:t>
            </w:r>
          </w:p>
        </w:tc>
        <w:tc>
          <w:tcPr>
            <w:tcW w:type="dxa" w:w="1871"/>
            <w:shd w:val="clear" w:fill="0F2622"/>
          </w:tcPr>
          <w:p>
            <w:pPr>
              <w:spacing w:after="20" w:before="20"/>
            </w:pPr>
            <w:r/>
            <w:r>
              <w:rPr>
                <w:b/>
                <w:color w:val="FFFFFF"/>
                <w:sz w:val="14"/>
              </w:rPr>
              <w:t>Full target</w:t>
            </w:r>
          </w:p>
        </w:tc>
      </w:tr>
      <w:tr>
        <w:trPr>
          <w:cantSplit/>
        </w:trPr>
        <w:tc>
          <w:tcPr>
            <w:tcW w:type="dxa" w:w="3402"/>
          </w:tcPr>
          <w:p>
            <w:pPr>
              <w:spacing w:after="20" w:before="20"/>
            </w:pPr>
            <w:r/>
            <w:r>
              <w:rPr>
                <w:b w:val="0"/>
                <w:sz w:val="14"/>
              </w:rPr>
              <w:t>Tasks completed on/before planned end</w:t>
            </w:r>
          </w:p>
        </w:tc>
        <w:tc>
          <w:tcPr>
            <w:tcW w:type="dxa" w:w="1814"/>
          </w:tcPr>
          <w:p>
            <w:pPr>
              <w:spacing w:after="20" w:before="20"/>
            </w:pPr>
            <w:r/>
            <w:r>
              <w:rPr>
                <w:b w:val="0"/>
                <w:sz w:val="14"/>
              </w:rPr>
              <w:t>≥ 80%</w:t>
            </w:r>
          </w:p>
        </w:tc>
        <w:tc>
          <w:tcPr>
            <w:tcW w:type="dxa" w:w="1871"/>
          </w:tcPr>
          <w:p>
            <w:pPr>
              <w:spacing w:after="20" w:before="20"/>
            </w:pPr>
            <w:r/>
            <w:r>
              <w:rPr>
                <w:b w:val="0"/>
                <w:sz w:val="14"/>
              </w:rPr>
              <w:t>≥ 85%</w:t>
            </w:r>
          </w:p>
        </w:tc>
        <w:tc>
          <w:tcPr>
            <w:tcW w:type="dxa" w:w="1871"/>
          </w:tcPr>
          <w:p>
            <w:pPr>
              <w:spacing w:after="20" w:before="20"/>
            </w:pPr>
            <w:r/>
            <w:r>
              <w:rPr>
                <w:b w:val="0"/>
                <w:sz w:val="14"/>
              </w:rPr>
              <w:t>≥ 85%</w:t>
            </w:r>
          </w:p>
        </w:tc>
      </w:tr>
      <w:tr>
        <w:trPr>
          <w:cantSplit/>
        </w:trPr>
        <w:tc>
          <w:tcPr>
            <w:tcW w:type="dxa" w:w="3402"/>
            <w:shd w:val="clear" w:fill="EAF4EF"/>
          </w:tcPr>
          <w:p>
            <w:pPr>
              <w:spacing w:after="20" w:before="20"/>
            </w:pPr>
            <w:r/>
            <w:r>
              <w:rPr>
                <w:b w:val="0"/>
                <w:sz w:val="14"/>
              </w:rPr>
              <w:t>Gate passages on first review</w:t>
            </w:r>
          </w:p>
        </w:tc>
        <w:tc>
          <w:tcPr>
            <w:tcW w:type="dxa" w:w="1814"/>
            <w:shd w:val="clear" w:fill="EAF4EF"/>
          </w:tcPr>
          <w:p>
            <w:pPr>
              <w:spacing w:after="20" w:before="20"/>
            </w:pPr>
            <w:r/>
            <w:r>
              <w:rPr>
                <w:b w:val="0"/>
                <w:sz w:val="14"/>
              </w:rPr>
              <w:t>3 of 5</w:t>
            </w:r>
          </w:p>
        </w:tc>
        <w:tc>
          <w:tcPr>
            <w:tcW w:type="dxa" w:w="1871"/>
            <w:shd w:val="clear" w:fill="EAF4EF"/>
          </w:tcPr>
          <w:p>
            <w:pPr>
              <w:spacing w:after="20" w:before="20"/>
            </w:pPr>
            <w:r/>
            <w:r>
              <w:rPr>
                <w:b w:val="0"/>
                <w:sz w:val="14"/>
              </w:rPr>
              <w:t>4 of 5</w:t>
            </w:r>
          </w:p>
        </w:tc>
        <w:tc>
          <w:tcPr>
            <w:tcW w:type="dxa" w:w="1871"/>
            <w:shd w:val="clear" w:fill="EAF4EF"/>
          </w:tcPr>
          <w:p>
            <w:pPr>
              <w:spacing w:after="20" w:before="20"/>
            </w:pPr>
            <w:r/>
            <w:r>
              <w:rPr>
                <w:b w:val="0"/>
                <w:sz w:val="14"/>
              </w:rPr>
              <w:t>4 of 5</w:t>
            </w:r>
          </w:p>
        </w:tc>
      </w:tr>
      <w:tr>
        <w:trPr>
          <w:cantSplit/>
        </w:trPr>
        <w:tc>
          <w:tcPr>
            <w:tcW w:type="dxa" w:w="3402"/>
          </w:tcPr>
          <w:p>
            <w:pPr>
              <w:spacing w:after="20" w:before="20"/>
            </w:pPr>
            <w:r/>
            <w:r>
              <w:rPr>
                <w:b w:val="0"/>
                <w:sz w:val="14"/>
              </w:rPr>
              <w:t>Deliverables public within 60 days of completion</w:t>
            </w:r>
          </w:p>
        </w:tc>
        <w:tc>
          <w:tcPr>
            <w:tcW w:type="dxa" w:w="1814"/>
          </w:tcPr>
          <w:p>
            <w:pPr>
              <w:spacing w:after="20" w:before="20"/>
            </w:pPr>
            <w:r/>
            <w:r>
              <w:rPr>
                <w:b w:val="0"/>
                <w:sz w:val="14"/>
              </w:rPr>
              <w:t>100%</w:t>
            </w:r>
          </w:p>
        </w:tc>
        <w:tc>
          <w:tcPr>
            <w:tcW w:type="dxa" w:w="1871"/>
          </w:tcPr>
          <w:p>
            <w:pPr>
              <w:spacing w:after="20" w:before="20"/>
            </w:pPr>
            <w:r/>
            <w:r>
              <w:rPr>
                <w:b w:val="0"/>
                <w:sz w:val="14"/>
              </w:rPr>
              <w:t>100%</w:t>
            </w:r>
          </w:p>
        </w:tc>
        <w:tc>
          <w:tcPr>
            <w:tcW w:type="dxa" w:w="1871"/>
          </w:tcPr>
          <w:p>
            <w:pPr>
              <w:spacing w:after="20" w:before="20"/>
            </w:pPr>
            <w:r/>
            <w:r>
              <w:rPr>
                <w:b w:val="0"/>
                <w:sz w:val="14"/>
              </w:rPr>
              <w:t>100%</w:t>
            </w:r>
          </w:p>
        </w:tc>
      </w:tr>
      <w:tr>
        <w:trPr>
          <w:cantSplit/>
        </w:trPr>
        <w:tc>
          <w:tcPr>
            <w:tcW w:type="dxa" w:w="3402"/>
            <w:shd w:val="clear" w:fill="EAF4EF"/>
          </w:tcPr>
          <w:p>
            <w:pPr>
              <w:spacing w:after="20" w:before="20"/>
            </w:pPr>
            <w:r/>
            <w:r>
              <w:rPr>
                <w:b w:val="0"/>
                <w:sz w:val="14"/>
              </w:rPr>
              <w:t>Studies preregistered before data</w:t>
            </w:r>
          </w:p>
        </w:tc>
        <w:tc>
          <w:tcPr>
            <w:tcW w:type="dxa" w:w="1814"/>
            <w:shd w:val="clear" w:fill="EAF4EF"/>
          </w:tcPr>
          <w:p>
            <w:pPr>
              <w:spacing w:after="20" w:before="20"/>
            </w:pPr>
            <w:r/>
            <w:r>
              <w:rPr>
                <w:b w:val="0"/>
                <w:sz w:val="14"/>
              </w:rPr>
              <w:t>100%</w:t>
            </w:r>
          </w:p>
        </w:tc>
        <w:tc>
          <w:tcPr>
            <w:tcW w:type="dxa" w:w="1871"/>
            <w:shd w:val="clear" w:fill="EAF4EF"/>
          </w:tcPr>
          <w:p>
            <w:pPr>
              <w:spacing w:after="20" w:before="20"/>
            </w:pPr>
            <w:r/>
            <w:r>
              <w:rPr>
                <w:b w:val="0"/>
                <w:sz w:val="14"/>
              </w:rPr>
              <w:t>100%</w:t>
            </w:r>
          </w:p>
        </w:tc>
        <w:tc>
          <w:tcPr>
            <w:tcW w:type="dxa" w:w="1871"/>
            <w:shd w:val="clear" w:fill="EAF4EF"/>
          </w:tcPr>
          <w:p>
            <w:pPr>
              <w:spacing w:after="20" w:before="20"/>
            </w:pPr>
            <w:r/>
            <w:r>
              <w:rPr>
                <w:b w:val="0"/>
                <w:sz w:val="14"/>
              </w:rPr>
              <w:t>100%</w:t>
            </w:r>
          </w:p>
        </w:tc>
      </w:tr>
      <w:tr>
        <w:trPr>
          <w:cantSplit/>
        </w:trPr>
        <w:tc>
          <w:tcPr>
            <w:tcW w:type="dxa" w:w="3402"/>
          </w:tcPr>
          <w:p>
            <w:pPr>
              <w:spacing w:after="20" w:before="20"/>
            </w:pPr>
            <w:r/>
            <w:r>
              <w:rPr>
                <w:b w:val="0"/>
                <w:sz w:val="14"/>
              </w:rPr>
              <w:t>Deviation log entries resolved within 30 days</w:t>
            </w:r>
          </w:p>
        </w:tc>
        <w:tc>
          <w:tcPr>
            <w:tcW w:type="dxa" w:w="1814"/>
          </w:tcPr>
          <w:p>
            <w:pPr>
              <w:spacing w:after="20" w:before="20"/>
            </w:pPr>
            <w:r/>
            <w:r>
              <w:rPr>
                <w:b w:val="0"/>
                <w:sz w:val="14"/>
              </w:rPr>
              <w:t>≥ 90%</w:t>
            </w:r>
          </w:p>
        </w:tc>
        <w:tc>
          <w:tcPr>
            <w:tcW w:type="dxa" w:w="1871"/>
          </w:tcPr>
          <w:p>
            <w:pPr>
              <w:spacing w:after="20" w:before="20"/>
            </w:pPr>
            <w:r/>
            <w:r>
              <w:rPr>
                <w:b w:val="0"/>
                <w:sz w:val="14"/>
              </w:rPr>
              <w:t>≥ 95%</w:t>
            </w:r>
          </w:p>
        </w:tc>
        <w:tc>
          <w:tcPr>
            <w:tcW w:type="dxa" w:w="1871"/>
          </w:tcPr>
          <w:p>
            <w:pPr>
              <w:spacing w:after="20" w:before="20"/>
            </w:pPr>
            <w:r/>
            <w:r>
              <w:rPr>
                <w:b w:val="0"/>
                <w:sz w:val="14"/>
              </w:rPr>
              <w:t>≥ 95%</w:t>
            </w:r>
          </w:p>
        </w:tc>
      </w:tr>
      <w:tr>
        <w:trPr>
          <w:cantSplit/>
        </w:trPr>
        <w:tc>
          <w:tcPr>
            <w:tcW w:type="dxa" w:w="3402"/>
            <w:shd w:val="clear" w:fill="EAF4EF"/>
          </w:tcPr>
          <w:p>
            <w:pPr>
              <w:spacing w:after="20" w:before="20"/>
            </w:pPr>
            <w:r/>
            <w:r>
              <w:rPr>
                <w:b w:val="0"/>
                <w:sz w:val="14"/>
              </w:rPr>
              <w:t>Open items in Annex E closed or owned with a date</w:t>
            </w:r>
          </w:p>
        </w:tc>
        <w:tc>
          <w:tcPr>
            <w:tcW w:type="dxa" w:w="1814"/>
            <w:shd w:val="clear" w:fill="EAF4EF"/>
          </w:tcPr>
          <w:p>
            <w:pPr>
              <w:spacing w:after="20" w:before="20"/>
            </w:pPr>
            <w:r/>
            <w:r>
              <w:rPr>
                <w:b w:val="0"/>
                <w:sz w:val="14"/>
              </w:rPr>
              <w:t>100%</w:t>
            </w:r>
          </w:p>
        </w:tc>
        <w:tc>
          <w:tcPr>
            <w:tcW w:type="dxa" w:w="1871"/>
            <w:shd w:val="clear" w:fill="EAF4EF"/>
          </w:tcPr>
          <w:p>
            <w:pPr>
              <w:spacing w:after="20" w:before="20"/>
            </w:pPr>
            <w:r/>
            <w:r>
              <w:rPr>
                <w:b w:val="0"/>
                <w:sz w:val="14"/>
              </w:rPr>
              <w:t>100%</w:t>
            </w:r>
          </w:p>
        </w:tc>
        <w:tc>
          <w:tcPr>
            <w:tcW w:type="dxa" w:w="1871"/>
            <w:shd w:val="clear" w:fill="EAF4EF"/>
          </w:tcPr>
          <w:p>
            <w:pPr>
              <w:spacing w:after="20" w:before="20"/>
            </w:pPr>
            <w:r/>
            <w:r>
              <w:rPr>
                <w:b w:val="0"/>
                <w:sz w:val="14"/>
              </w:rPr>
              <w:t>100%</w:t>
            </w:r>
          </w:p>
        </w:tc>
      </w:tr>
      <w:tr>
        <w:trPr>
          <w:cantSplit/>
        </w:trPr>
        <w:tc>
          <w:tcPr>
            <w:tcW w:type="dxa" w:w="3402"/>
          </w:tcPr>
          <w:p>
            <w:pPr>
              <w:spacing w:after="20" w:before="20"/>
            </w:pPr>
            <w:r/>
            <w:r>
              <w:rPr>
                <w:b w:val="0"/>
                <w:sz w:val="14"/>
              </w:rPr>
              <w:t>Cost lines carrying a quote rather than a model, by end of Y1</w:t>
            </w:r>
          </w:p>
        </w:tc>
        <w:tc>
          <w:tcPr>
            <w:tcW w:type="dxa" w:w="1814"/>
          </w:tcPr>
          <w:p>
            <w:pPr>
              <w:spacing w:after="20" w:before="20"/>
            </w:pPr>
            <w:r/>
            <w:r>
              <w:rPr>
                <w:b w:val="0"/>
                <w:sz w:val="14"/>
              </w:rPr>
              <w:t>≥ 4</w:t>
            </w:r>
          </w:p>
        </w:tc>
        <w:tc>
          <w:tcPr>
            <w:tcW w:type="dxa" w:w="1871"/>
          </w:tcPr>
          <w:p>
            <w:pPr>
              <w:spacing w:after="20" w:before="20"/>
            </w:pPr>
            <w:r/>
            <w:r>
              <w:rPr>
                <w:b w:val="0"/>
                <w:sz w:val="14"/>
              </w:rPr>
              <w:t>≥ 6</w:t>
            </w:r>
          </w:p>
        </w:tc>
        <w:tc>
          <w:tcPr>
            <w:tcW w:type="dxa" w:w="1871"/>
          </w:tcPr>
          <w:p>
            <w:pPr>
              <w:spacing w:after="20" w:before="20"/>
            </w:pPr>
            <w:r/>
            <w:r>
              <w:rPr>
                <w:b w:val="0"/>
                <w:sz w:val="14"/>
              </w:rPr>
              <w:t>≥ 8</w:t>
            </w:r>
          </w:p>
        </w:tc>
      </w:tr>
      <w:tr>
        <w:trPr>
          <w:cantSplit/>
        </w:trPr>
        <w:tc>
          <w:tcPr>
            <w:tcW w:type="dxa" w:w="3402"/>
            <w:shd w:val="clear" w:fill="EAF4EF"/>
          </w:tcPr>
          <w:p>
            <w:pPr>
              <w:spacing w:after="20" w:before="20"/>
            </w:pPr>
            <w:r/>
            <w:r>
              <w:rPr>
                <w:b w:val="0"/>
                <w:sz w:val="14"/>
              </w:rPr>
              <w:t>Publication pipeline (submitted/peer-reviewed)</w:t>
            </w:r>
          </w:p>
        </w:tc>
        <w:tc>
          <w:tcPr>
            <w:tcW w:type="dxa" w:w="1814"/>
            <w:shd w:val="clear" w:fill="EAF4EF"/>
          </w:tcPr>
          <w:p>
            <w:pPr>
              <w:spacing w:after="20" w:before="20"/>
            </w:pPr>
            <w:r/>
            <w:r>
              <w:rPr>
                <w:b w:val="0"/>
                <w:sz w:val="14"/>
              </w:rPr>
              <w:t>3 / 1</w:t>
            </w:r>
          </w:p>
        </w:tc>
        <w:tc>
          <w:tcPr>
            <w:tcW w:type="dxa" w:w="1871"/>
            <w:shd w:val="clear" w:fill="EAF4EF"/>
          </w:tcPr>
          <w:p>
            <w:pPr>
              <w:spacing w:after="20" w:before="20"/>
            </w:pPr>
            <w:r/>
            <w:r>
              <w:rPr>
                <w:b w:val="0"/>
                <w:sz w:val="14"/>
              </w:rPr>
              <w:t>8 / 4</w:t>
            </w:r>
          </w:p>
        </w:tc>
        <w:tc>
          <w:tcPr>
            <w:tcW w:type="dxa" w:w="1871"/>
            <w:shd w:val="clear" w:fill="EAF4EF"/>
          </w:tcPr>
          <w:p>
            <w:pPr>
              <w:spacing w:after="20" w:before="20"/>
            </w:pPr>
            <w:r/>
            <w:r>
              <w:rPr>
                <w:b w:val="0"/>
                <w:sz w:val="14"/>
              </w:rPr>
              <w:t>12 / 7</w:t>
            </w:r>
          </w:p>
        </w:tc>
      </w:tr>
      <w:tr>
        <w:trPr>
          <w:cantSplit/>
        </w:trPr>
        <w:tc>
          <w:tcPr>
            <w:tcW w:type="dxa" w:w="3402"/>
          </w:tcPr>
          <w:p>
            <w:pPr>
              <w:spacing w:after="20" w:before="20"/>
            </w:pPr>
            <w:r/>
            <w:r>
              <w:rPr>
                <w:b w:val="0"/>
                <w:sz w:val="14"/>
              </w:rPr>
              <w:t>External replications of programme results</w:t>
            </w:r>
          </w:p>
        </w:tc>
        <w:tc>
          <w:tcPr>
            <w:tcW w:type="dxa" w:w="1814"/>
          </w:tcPr>
          <w:p>
            <w:pPr>
              <w:spacing w:after="20" w:before="20"/>
            </w:pPr>
            <w:r/>
            <w:r>
              <w:rPr>
                <w:b w:val="0"/>
                <w:sz w:val="14"/>
              </w:rPr>
              <w:t>≥ 1</w:t>
            </w:r>
          </w:p>
        </w:tc>
        <w:tc>
          <w:tcPr>
            <w:tcW w:type="dxa" w:w="1871"/>
          </w:tcPr>
          <w:p>
            <w:pPr>
              <w:spacing w:after="20" w:before="20"/>
            </w:pPr>
            <w:r/>
            <w:r>
              <w:rPr>
                <w:b w:val="0"/>
                <w:sz w:val="14"/>
              </w:rPr>
              <w:t>≥ 3</w:t>
            </w:r>
          </w:p>
        </w:tc>
        <w:tc>
          <w:tcPr>
            <w:tcW w:type="dxa" w:w="1871"/>
          </w:tcPr>
          <w:p>
            <w:pPr>
              <w:spacing w:after="20" w:before="20"/>
            </w:pPr>
            <w:r/>
            <w:r>
              <w:rPr>
                <w:b w:val="0"/>
                <w:sz w:val="14"/>
              </w:rPr>
              <w:t>≥ 5</w:t>
            </w:r>
          </w:p>
        </w:tc>
      </w:tr>
      <w:tr>
        <w:trPr>
          <w:cantSplit/>
        </w:trPr>
        <w:tc>
          <w:tcPr>
            <w:tcW w:type="dxa" w:w="3402"/>
            <w:shd w:val="clear" w:fill="EAF4EF"/>
          </w:tcPr>
          <w:p>
            <w:pPr>
              <w:spacing w:after="20" w:before="20"/>
            </w:pPr>
            <w:r/>
            <w:r>
              <w:rPr>
                <w:b w:val="0"/>
                <w:sz w:val="14"/>
              </w:rPr>
              <w:t>Partners adopting programme standards</w:t>
            </w:r>
          </w:p>
        </w:tc>
        <w:tc>
          <w:tcPr>
            <w:tcW w:type="dxa" w:w="1814"/>
            <w:shd w:val="clear" w:fill="EAF4EF"/>
          </w:tcPr>
          <w:p>
            <w:pPr>
              <w:spacing w:after="20" w:before="20"/>
            </w:pPr>
            <w:r/>
            <w:r>
              <w:rPr>
                <w:b w:val="0"/>
                <w:sz w:val="14"/>
              </w:rPr>
              <w:t>≥ 1</w:t>
            </w:r>
          </w:p>
        </w:tc>
        <w:tc>
          <w:tcPr>
            <w:tcW w:type="dxa" w:w="1871"/>
            <w:shd w:val="clear" w:fill="EAF4EF"/>
          </w:tcPr>
          <w:p>
            <w:pPr>
              <w:spacing w:after="20" w:before="20"/>
            </w:pPr>
            <w:r/>
            <w:r>
              <w:rPr>
                <w:b w:val="0"/>
                <w:sz w:val="14"/>
              </w:rPr>
              <w:t>≥ 3</w:t>
            </w:r>
          </w:p>
        </w:tc>
        <w:tc>
          <w:tcPr>
            <w:tcW w:type="dxa" w:w="1871"/>
            <w:shd w:val="clear" w:fill="EAF4EF"/>
          </w:tcPr>
          <w:p>
            <w:pPr>
              <w:spacing w:after="20" w:before="20"/>
            </w:pPr>
            <w:r/>
            <w:r>
              <w:rPr>
                <w:b w:val="0"/>
                <w:sz w:val="14"/>
              </w:rPr>
              <w:t>≥ 6</w:t>
            </w:r>
          </w:p>
        </w:tc>
      </w:tr>
    </w:tbl>
    <w:p>
      <w:pPr>
        <w:spacing w:after="100"/>
      </w:pPr>
      <w:r>
        <w:rPr>
          <w:b w:val="0"/>
          <w:i/>
          <w:sz w:val="16"/>
        </w:rPr>
        <w:t>The seventh row is new in v1.1 and is the one that measures whether this document is becoming more honest over time: a plan whose lines are still all modelled at the end of year one has not been negotiating.</w:t>
      </w:r>
    </w:p>
    <w:p>
      <w:pPr>
        <w:pStyle w:val="Heading1"/>
      </w:pPr>
      <w:r>
        <w:t>13. Sustainability and exit</w:t>
      </w:r>
    </w:p>
    <w:p>
      <w:pPr>
        <w:spacing w:before="0" w:after="140" w:line="40" w:lineRule="exact"/>
        <w:pBdr>
          <w:bottom w:val="single" w:sz="16" w:space="0" w:color="E8A13D"/>
        </w:pBdr>
      </w:pPr>
      <w:r>
        <w:rPr>
          <w:sz w:val="2"/>
        </w:rPr>
      </w:r>
    </w:p>
    <w:p>
      <w:pPr>
        <w:spacing w:after="100"/>
      </w:pPr>
      <w:r>
        <w:rPr>
          <w:b w:val="0"/>
          <w:i w:val="0"/>
          <w:sz w:val="19"/>
        </w:rPr>
        <w:t>The programme is designed to outlive its grant. Three mechanisms: (1) the instruments (SCT-2.0, CFC-1) and standards (BSS-1) are open and usable without the programme's infrastructure; (2) the certification scheme is designed for handover to a standing body — a standards organisation, an AI safety institute, or a professional association — with the auditor curriculum and accreditation criteria as the transferable assets, aligned with the instruments regulators already use [33][34][35][36][37][38][39]; (3) the sustainability plan (D37) identifies hosting, stewardship and funding options for a post-2031 phase, including a possible transition of the prevalence atlas and drift monitoring to an operational service funded by subscribers who accept the open-results policy. If no successor exists, the archive stands: data, code, standards and the negative-results register remain accessible with DOIs.</w:t>
      </w:r>
    </w:p>
    <w:p>
      <w:pPr>
        <w:spacing w:after="100"/>
      </w:pPr>
      <w:r>
        <w:rPr>
          <w:b w:val="0"/>
          <w:i w:val="0"/>
          <w:sz w:val="19"/>
        </w:rPr>
        <w:t>The exit case that matters most is the one where the science disappoints. If the catalogue does not separate, the programme still leaves a validated axis-level instrument, a published untested list, a containment standard including its agentic tier, and a negative-results register — and the field learns that behaviour in grown systems does not carve the way the manual proposed, which is worth knowing and is currently not known.</w:t>
      </w:r>
    </w:p>
    <w:p>
      <w:pPr>
        <w:pStyle w:val="Heading1"/>
      </w:pPr>
      <w:r>
        <w:t>14. Where this plan is still weak</w:t>
      </w:r>
    </w:p>
    <w:p>
      <w:pPr>
        <w:spacing w:before="0" w:after="140" w:line="40" w:lineRule="exact"/>
        <w:pBdr>
          <w:bottom w:val="single" w:sz="16" w:space="0" w:color="E8A13D"/>
        </w:pBdr>
      </w:pPr>
      <w:r>
        <w:rPr>
          <w:sz w:val="2"/>
        </w:rPr>
      </w:r>
    </w:p>
    <w:p>
      <w:pPr>
        <w:spacing w:after="100"/>
      </w:pPr>
      <w:r>
        <w:rPr>
          <w:b w:val="0"/>
          <w:i w:val="0"/>
          <w:sz w:val="19"/>
        </w:rPr>
        <w:t>Every document in this set closes with the objections a hostile reviewer would raise, stated in the reviewer's words rather than in the programme's. The reason is practical: a reviewer who finds an objection the document has already made concludes that the authors read their own work, and a reviewer who finds one it has not concludes the opposite. The rows below are ordered by how likely each is to cost a review cycle. Where an objection has an owner and a date it also appears in Annex E; where it does not, it is a limit of the budget rather than a task somebody has failed to do.</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2608"/>
            <w:shd w:val="clear" w:fill="0F2622"/>
          </w:tcPr>
          <w:p>
            <w:pPr>
              <w:spacing w:after="20" w:before="20"/>
            </w:pPr>
            <w:r/>
            <w:r>
              <w:rPr>
                <w:b/>
                <w:color w:val="FFFFFF"/>
                <w:sz w:val="14"/>
              </w:rPr>
              <w:t>The objection, as a hostile reviewer would put it</w:t>
            </w:r>
          </w:p>
        </w:tc>
        <w:tc>
          <w:tcPr>
            <w:tcW w:type="dxa" w:w="4195"/>
            <w:shd w:val="clear" w:fill="0F2622"/>
          </w:tcPr>
          <w:p>
            <w:pPr>
              <w:spacing w:after="20" w:before="20"/>
            </w:pPr>
            <w:r/>
            <w:r>
              <w:rPr>
                <w:b/>
                <w:color w:val="FFFFFF"/>
                <w:sz w:val="14"/>
              </w:rPr>
              <w:t>The honest position</w:t>
            </w:r>
          </w:p>
        </w:tc>
        <w:tc>
          <w:tcPr>
            <w:tcW w:type="dxa" w:w="2721"/>
            <w:shd w:val="clear" w:fill="0F2622"/>
          </w:tcPr>
          <w:p>
            <w:pPr>
              <w:spacing w:after="20" w:before="20"/>
            </w:pPr>
            <w:r/>
            <w:r>
              <w:rPr>
                <w:b/>
                <w:color w:val="FFFFFF"/>
                <w:sz w:val="14"/>
              </w:rPr>
              <w:t>What closes it</w:t>
            </w:r>
          </w:p>
        </w:tc>
      </w:tr>
      <w:tr>
        <w:trPr>
          <w:cantSplit/>
        </w:trPr>
        <w:tc>
          <w:tcPr>
            <w:tcW w:type="dxa" w:w="2608"/>
          </w:tcPr>
          <w:p>
            <w:pPr>
              <w:spacing w:after="20" w:before="20"/>
            </w:pPr>
            <w:r/>
            <w:r>
              <w:rPr>
                <w:b w:val="0"/>
                <w:sz w:val="14"/>
              </w:rPr>
              <w:t>‘Your Core task table runs to June 2031 and you are asking for four years of money.’</w:t>
            </w:r>
          </w:p>
        </w:tc>
        <w:tc>
          <w:tcPr>
            <w:tcW w:type="dxa" w:w="4195"/>
          </w:tcPr>
          <w:p>
            <w:pPr>
              <w:spacing w:after="20" w:before="20"/>
            </w:pPr>
            <w:r/>
            <w:r>
              <w:rPr>
                <w:b w:val="0"/>
                <w:sz w:val="14"/>
              </w:rPr>
              <w:t>Correct, and it is the objection most likely to cost a review cycle. Eight tasks end after December 2030. Core funds the science; the standards submission, the regulatory pilots, the incident taxonomy and the sustainability transition sit in the fifth year and Core does not pay for them. 4.4 now names them.</w:t>
            </w:r>
          </w:p>
        </w:tc>
        <w:tc>
          <w:tcPr>
            <w:tcW w:type="dxa" w:w="2721"/>
          </w:tcPr>
          <w:p>
            <w:pPr>
              <w:spacing w:after="20" w:before="20"/>
            </w:pPr>
            <w:r/>
            <w:r>
              <w:rPr>
                <w:b w:val="0"/>
                <w:sz w:val="14"/>
              </w:rPr>
              <w:t>A G4 decision, taken on the record, that either completes each of the eight inside year four at reduced scope, hands it to a successor body, or drops it. Or the Full scenario, which funds them all.</w:t>
            </w:r>
          </w:p>
        </w:tc>
      </w:tr>
      <w:tr>
        <w:trPr>
          <w:cantSplit/>
        </w:trPr>
        <w:tc>
          <w:tcPr>
            <w:tcW w:type="dxa" w:w="2608"/>
            <w:shd w:val="clear" w:fill="EAF4EF"/>
          </w:tcPr>
          <w:p>
            <w:pPr>
              <w:spacing w:after="20" w:before="20"/>
            </w:pPr>
            <w:r/>
            <w:r>
              <w:rPr>
                <w:b w:val="0"/>
                <w:sz w:val="14"/>
              </w:rPr>
              <w:t>‘Your own success criterion cannot be met by your own scope.’</w:t>
            </w:r>
          </w:p>
        </w:tc>
        <w:tc>
          <w:tcPr>
            <w:tcW w:type="dxa" w:w="4195"/>
            <w:shd w:val="clear" w:fill="EAF4EF"/>
          </w:tcPr>
          <w:p>
            <w:pPr>
              <w:spacing w:after="20" w:before="20"/>
            </w:pPr>
            <w:r/>
            <w:r>
              <w:rPr>
                <w:b w:val="0"/>
                <w:sz w:val="14"/>
              </w:rPr>
              <w:t>That was true of the first v1.1 draft and is the reason H3 was restated. It is not fully closed even now: the corrected denominator counts an entry as reachable when a funded battery names it as the other arm of a pair, which assumes a pair battery discriminates symmetrically. For most pairs it will; for a pair where one arm is rare it may separate one arm and leave the other unresolved.</w:t>
            </w:r>
          </w:p>
        </w:tc>
        <w:tc>
          <w:tcPr>
            <w:tcW w:type="dxa" w:w="2721"/>
            <w:shd w:val="clear" w:fill="EAF4EF"/>
          </w:tcPr>
          <w:p>
            <w:pPr>
              <w:spacing w:after="20" w:before="20"/>
            </w:pPr>
            <w:r/>
            <w:r>
              <w:rPr>
                <w:b w:val="0"/>
                <w:sz w:val="14"/>
              </w:rPr>
              <w:t>Pre-registering the symmetry assumption as a testable one, and reporting any entry whose separation rests only on the far arm of a bridging battery as a weaker class of evidence than an entry with a battery of its own.</w:t>
            </w:r>
          </w:p>
        </w:tc>
      </w:tr>
      <w:tr>
        <w:trPr>
          <w:cantSplit/>
        </w:trPr>
        <w:tc>
          <w:tcPr>
            <w:tcW w:type="dxa" w:w="2608"/>
          </w:tcPr>
          <w:p>
            <w:pPr>
              <w:spacing w:after="20" w:before="20"/>
            </w:pPr>
            <w:r/>
            <w:r>
              <w:rPr>
                <w:b w:val="0"/>
                <w:sz w:val="14"/>
              </w:rPr>
              <w:t>‘You human-score a tenth of your data and call the rest scored.’</w:t>
            </w:r>
          </w:p>
        </w:tc>
        <w:tc>
          <w:tcPr>
            <w:tcW w:type="dxa" w:w="4195"/>
          </w:tcPr>
          <w:p>
            <w:pPr>
              <w:spacing w:after="20" w:before="20"/>
            </w:pPr>
            <w:r/>
            <w:r>
              <w:rPr>
                <w:b w:val="0"/>
                <w:sz w:val="14"/>
              </w:rPr>
              <w:t>The annotation line funds dual scoring with adjudication for about a tenth of the Core generation volume; the rest is rubric-pattern scored. Annex C.3 now writes the arithmetic out. The programme’s own pilot is the evidence that rubric-pattern scoring has limits: in one run 63 of 120 items matched no rule and took a default score.</w:t>
            </w:r>
          </w:p>
        </w:tc>
        <w:tc>
          <w:tcPr>
            <w:tcW w:type="dxa" w:w="2721"/>
          </w:tcPr>
          <w:p>
            <w:pPr>
              <w:spacing w:after="20" w:before="20"/>
            </w:pPr>
            <w:r/>
            <w:r>
              <w:rPr>
                <w:b w:val="0"/>
                <w:sz w:val="14"/>
              </w:rPr>
              <w:t>A measured rule-match rate and a measured minutes-per-item from the first instrument study, and a published policy that no standards claim rests on an item scored by default.</w:t>
            </w:r>
          </w:p>
        </w:tc>
      </w:tr>
      <w:tr>
        <w:trPr>
          <w:cantSplit/>
        </w:trPr>
        <w:tc>
          <w:tcPr>
            <w:tcW w:type="dxa" w:w="2608"/>
            <w:shd w:val="clear" w:fill="EAF4EF"/>
          </w:tcPr>
          <w:p>
            <w:pPr>
              <w:spacing w:after="20" w:before="20"/>
            </w:pPr>
            <w:r/>
            <w:r>
              <w:rPr>
                <w:b w:val="0"/>
                <w:sz w:val="14"/>
              </w:rPr>
              <w:t>‘Nothing in this budget is a quote.’</w:t>
            </w:r>
          </w:p>
        </w:tc>
        <w:tc>
          <w:tcPr>
            <w:tcW w:type="dxa" w:w="4195"/>
            <w:shd w:val="clear" w:fill="EAF4EF"/>
          </w:tcPr>
          <w:p>
            <w:pPr>
              <w:spacing w:after="20" w:before="20"/>
            </w:pPr>
            <w:r/>
            <w:r>
              <w:rPr>
                <w:b w:val="0"/>
                <w:sz w:val="14"/>
              </w:rPr>
              <w:t>Nothing is, and the largest single number in the compute line — the cluster and training residual — is the one with no supplier behind it at all. The plan states this rather than implying otherwise, but stating it does not make the total more reliable.</w:t>
            </w:r>
          </w:p>
        </w:tc>
        <w:tc>
          <w:tcPr>
            <w:tcW w:type="dxa" w:w="2721"/>
            <w:shd w:val="clear" w:fill="EAF4EF"/>
          </w:tcPr>
          <w:p>
            <w:pPr>
              <w:spacing w:after="20" w:before="20"/>
            </w:pPr>
            <w:r/>
            <w:r>
              <w:rPr>
                <w:b w:val="0"/>
                <w:sz w:val="14"/>
              </w:rPr>
              <w:t>One model-API framework agreement and one GPU-hour quote (OI-2). Those two documents would move more of this plan from modelled to quoted than anything else the programme could obtain.</w:t>
            </w:r>
          </w:p>
        </w:tc>
      </w:tr>
      <w:tr>
        <w:trPr>
          <w:cantSplit/>
        </w:trPr>
        <w:tc>
          <w:tcPr>
            <w:tcW w:type="dxa" w:w="2608"/>
          </w:tcPr>
          <w:p>
            <w:pPr>
              <w:spacing w:after="20" w:before="20"/>
            </w:pPr>
            <w:r/>
            <w:r>
              <w:rPr>
                <w:b w:val="0"/>
                <w:sz w:val="14"/>
              </w:rPr>
              <w:t>‘Your critical path has work starting before the work it depends on has finished.’</w:t>
            </w:r>
          </w:p>
        </w:tc>
        <w:tc>
          <w:tcPr>
            <w:tcW w:type="dxa" w:w="4195"/>
          </w:tcPr>
          <w:p>
            <w:pPr>
              <w:spacing w:after="20" w:before="20"/>
            </w:pPr>
            <w:r/>
            <w:r>
              <w:rPr>
                <w:b w:val="0"/>
                <w:sz w:val="14"/>
              </w:rPr>
              <w:t>On four links, yes. The float column is now computed from the task dates rather than typed, which is how the overlaps became visible. The defensible reading is that the successor starts on partial output; the plan does not yet specify what that partial output is on any of the four.</w:t>
            </w:r>
          </w:p>
        </w:tc>
        <w:tc>
          <w:tcPr>
            <w:tcW w:type="dxa" w:w="2721"/>
          </w:tcPr>
          <w:p>
            <w:pPr>
              <w:spacing w:after="20" w:before="20"/>
            </w:pPr>
            <w:r/>
            <w:r>
              <w:rPr>
                <w:b w:val="0"/>
                <w:sz w:val="14"/>
              </w:rPr>
              <w:t>The detailed schedule build in month one of a funded programme, specifying the partial outputs or moving the dates (OI-14).</w:t>
            </w:r>
          </w:p>
        </w:tc>
      </w:tr>
      <w:tr>
        <w:trPr>
          <w:cantSplit/>
        </w:trPr>
        <w:tc>
          <w:tcPr>
            <w:tcW w:type="dxa" w:w="2608"/>
            <w:shd w:val="clear" w:fill="EAF4EF"/>
          </w:tcPr>
          <w:p>
            <w:pPr>
              <w:spacing w:after="20" w:before="20"/>
            </w:pPr>
            <w:r/>
            <w:r>
              <w:rPr>
                <w:b w:val="0"/>
                <w:sz w:val="14"/>
              </w:rPr>
              <w:t>‘The programme validates its principal investigator’s own catalogue, and the only measurements it has made are of its own product.’</w:t>
            </w:r>
          </w:p>
        </w:tc>
        <w:tc>
          <w:tcPr>
            <w:tcW w:type="dxa" w:w="4195"/>
            <w:shd w:val="clear" w:fill="EAF4EF"/>
          </w:tcPr>
          <w:p>
            <w:pPr>
              <w:spacing w:after="20" w:before="20"/>
            </w:pPr>
            <w:r/>
            <w:r>
              <w:rPr>
                <w:b w:val="0"/>
                <w:sz w:val="14"/>
              </w:rPr>
              <w:t>Both are true and neither is resolved by the mitigations. R13 delegates adjudication to an external analysis lead who has not been appointed. The pilot measured the programme’s own assistant twice in two days and the second measurement was thirteen points higher, on a partly different serving channel, scored by the programme (1.3).</w:t>
            </w:r>
          </w:p>
        </w:tc>
        <w:tc>
          <w:tcPr>
            <w:tcW w:type="dxa" w:w="2721"/>
            <w:shd w:val="clear" w:fill="EAF4EF"/>
          </w:tcPr>
          <w:p>
            <w:pPr>
              <w:spacing w:after="20" w:before="20"/>
            </w:pPr>
            <w:r/>
            <w:r>
              <w:rPr>
                <w:b w:val="0"/>
                <w:sz w:val="14"/>
              </w:rPr>
              <w:t>An appointed external analysis lead with a contract, and an external scorer for any pilot figure the programme quotes. Until both exist, pilot numbers are illustrative and the plan says so.</w:t>
            </w:r>
          </w:p>
        </w:tc>
      </w:tr>
      <w:tr>
        <w:trPr>
          <w:cantSplit/>
        </w:trPr>
        <w:tc>
          <w:tcPr>
            <w:tcW w:type="dxa" w:w="2608"/>
          </w:tcPr>
          <w:p>
            <w:pPr>
              <w:spacing w:after="20" w:before="20"/>
            </w:pPr>
            <w:r/>
            <w:r>
              <w:rPr>
                <w:b w:val="0"/>
                <w:sz w:val="14"/>
              </w:rPr>
              <w:t>‘Your contingency says ten per cent and carries under nine.’</w:t>
            </w:r>
          </w:p>
        </w:tc>
        <w:tc>
          <w:tcPr>
            <w:tcW w:type="dxa" w:w="4195"/>
          </w:tcPr>
          <w:p>
            <w:pPr>
              <w:spacing w:after="20" w:before="20"/>
            </w:pPr>
            <w:r/>
            <w:r>
              <w:rPr>
                <w:b w:val="0"/>
                <w:sz w:val="14"/>
              </w:rPr>
              <w:t>The label in the shared cost model rounds and the amounts were set in v1.0. This edition corrects the description rather than the number, because moving the number moves every published total in the set — which is a reason, not a justification.</w:t>
            </w:r>
          </w:p>
        </w:tc>
        <w:tc>
          <w:tcPr>
            <w:tcW w:type="dxa" w:w="2721"/>
          </w:tcPr>
          <w:p>
            <w:pPr>
              <w:spacing w:after="20" w:before="20"/>
            </w:pPr>
            <w:r/>
            <w:r>
              <w:rPr>
                <w:b w:val="0"/>
                <w:sz w:val="14"/>
              </w:rPr>
              <w:t>The next revision of the shared cost model, applying the stated percentages or relabelling the line (OI-16).</w:t>
            </w:r>
          </w:p>
        </w:tc>
      </w:tr>
      <w:tr>
        <w:trPr>
          <w:cantSplit/>
        </w:trPr>
        <w:tc>
          <w:tcPr>
            <w:tcW w:type="dxa" w:w="2608"/>
            <w:shd w:val="clear" w:fill="EAF4EF"/>
          </w:tcPr>
          <w:p>
            <w:pPr>
              <w:spacing w:after="20" w:before="20"/>
            </w:pPr>
            <w:r/>
            <w:r>
              <w:rPr>
                <w:b w:val="0"/>
                <w:sz w:val="14"/>
              </w:rPr>
              <w:t>‘Your bought-price case is a range, so the real number is somewhere in it.’</w:t>
            </w:r>
          </w:p>
        </w:tc>
        <w:tc>
          <w:tcPr>
            <w:tcW w:type="dxa" w:w="4195"/>
            <w:shd w:val="clear" w:fill="EAF4EF"/>
          </w:tcPr>
          <w:p>
            <w:pPr>
              <w:spacing w:after="20" w:before="20"/>
            </w:pPr>
            <w:r/>
            <w:r>
              <w:rPr>
                <w:b w:val="0"/>
                <w:sz w:val="14"/>
              </w:rPr>
              <w:t>No: it is a floor. Contingency, institutional infrastructure and the ethics review are all excluded from the conversion and all rise with it. 6.8 says so, and a reader who takes the top of the range as the worst case is reading it wrong.</w:t>
            </w:r>
          </w:p>
        </w:tc>
        <w:tc>
          <w:tcPr>
            <w:tcW w:type="dxa" w:w="2721"/>
            <w:shd w:val="clear" w:fill="EAF4EF"/>
          </w:tcPr>
          <w:p>
            <w:pPr>
              <w:spacing w:after="20" w:before="20"/>
            </w:pPr>
            <w:r/>
            <w:r>
              <w:rPr>
                <w:b w:val="0"/>
                <w:sz w:val="14"/>
              </w:rPr>
              <w:t>A host agreement, which removes the question (OI-1); or a costed bought-column budget, which is a week of work nobody has funded.</w:t>
            </w:r>
          </w:p>
        </w:tc>
      </w:tr>
      <w:tr>
        <w:trPr>
          <w:cantSplit/>
        </w:trPr>
        <w:tc>
          <w:tcPr>
            <w:tcW w:type="dxa" w:w="2608"/>
          </w:tcPr>
          <w:p>
            <w:pPr>
              <w:spacing w:after="20" w:before="20"/>
            </w:pPr>
            <w:r/>
            <w:r>
              <w:rPr>
                <w:b w:val="0"/>
                <w:sz w:val="14"/>
              </w:rPr>
              <w:t>‘Five entries in the catalogue are reached by nothing you fund.’</w:t>
            </w:r>
          </w:p>
        </w:tc>
        <w:tc>
          <w:tcPr>
            <w:tcW w:type="dxa" w:w="4195"/>
          </w:tcPr>
          <w:p>
            <w:pPr>
              <w:spacing w:after="20" w:before="20"/>
            </w:pPr>
            <w:r/>
            <w:r>
              <w:rPr>
                <w:b w:val="0"/>
                <w:sz w:val="14"/>
              </w:rPr>
              <w:t>Correct, and all five carry an established label. Every confusable pair the manual names for them has both arms outside the priority set, so no funded battery touches them. They are reported as untested and never as separated.</w:t>
            </w:r>
          </w:p>
        </w:tc>
        <w:tc>
          <w:tcPr>
            <w:tcW w:type="dxa" w:w="2721"/>
          </w:tcPr>
          <w:p>
            <w:pPr>
              <w:spacing w:after="20" w:before="20"/>
            </w:pPr>
            <w:r/>
            <w:r>
              <w:rPr>
                <w:b w:val="0"/>
                <w:sz w:val="14"/>
              </w:rPr>
              <w:t>A scope increase above Core, or a rule change at G3 that admits an entry to the priority set on the basis of the pairs it is named in rather than on its evidence label alone (OI-15).</w:t>
            </w:r>
          </w:p>
        </w:tc>
      </w:tr>
      <w:tr>
        <w:trPr>
          <w:cantSplit/>
        </w:trPr>
        <w:tc>
          <w:tcPr>
            <w:tcW w:type="dxa" w:w="2608"/>
            <w:shd w:val="clear" w:fill="EAF4EF"/>
          </w:tcPr>
          <w:p>
            <w:pPr>
              <w:spacing w:after="20" w:before="20"/>
            </w:pPr>
            <w:r/>
            <w:r>
              <w:rPr>
                <w:b w:val="0"/>
                <w:sz w:val="14"/>
              </w:rPr>
              <w:t>‘Your Lean scenario breaks two of your own rules.’</w:t>
            </w:r>
          </w:p>
        </w:tc>
        <w:tc>
          <w:tcPr>
            <w:tcW w:type="dxa" w:w="4195"/>
            <w:shd w:val="clear" w:fill="EAF4EF"/>
          </w:tcPr>
          <w:p>
            <w:pPr>
              <w:spacing w:after="20" w:before="20"/>
            </w:pPr>
            <w:r/>
            <w:r>
              <w:rPr>
                <w:b w:val="0"/>
                <w:sz w:val="14"/>
              </w:rPr>
              <w:t>It does. Lean can be funded by a single funder at up to the whole of it, against a concentration rule of 15 per cent, and it reserves five per cent of compute for re-runs against a stated floor of ten. Both are stated where they occur (7.2, section 9) rather than left for a reviewer to find.</w:t>
            </w:r>
          </w:p>
        </w:tc>
        <w:tc>
          <w:tcPr>
            <w:tcW w:type="dxa" w:w="2721"/>
            <w:shd w:val="clear" w:fill="EAF4EF"/>
          </w:tcPr>
          <w:p>
            <w:pPr>
              <w:spacing w:after="20" w:before="20"/>
            </w:pPr>
            <w:r/>
            <w:r>
              <w:rPr>
                <w:b w:val="0"/>
                <w:sz w:val="14"/>
              </w:rPr>
              <w:t>Funding Core rather than Lean, which is what this plan recommends; or accepting Lean as a survival configuration with both trade-offs written into the grant agreement rather than assumed away.</w:t>
            </w:r>
          </w:p>
        </w:tc>
      </w:tr>
      <w:tr>
        <w:trPr>
          <w:cantSplit/>
        </w:trPr>
        <w:tc>
          <w:tcPr>
            <w:tcW w:type="dxa" w:w="2608"/>
          </w:tcPr>
          <w:p>
            <w:pPr>
              <w:spacing w:after="20" w:before="20"/>
            </w:pPr>
            <w:r/>
            <w:r>
              <w:rPr>
                <w:b w:val="0"/>
                <w:sz w:val="14"/>
              </w:rPr>
              <w:t>‘Five of your tasks are not in the task database the other documents use.’</w:t>
            </w:r>
          </w:p>
        </w:tc>
        <w:tc>
          <w:tcPr>
            <w:tcW w:type="dxa" w:w="4195"/>
          </w:tcPr>
          <w:p>
            <w:pPr>
              <w:spacing w:after="20" w:before="20"/>
            </w:pPr>
            <w:r/>
            <w:r>
              <w:rPr>
                <w:b w:val="0"/>
                <w:sz w:val="14"/>
              </w:rPr>
              <w:t>True. Tasks 2.8, 3.6, 4.7, 6.5 and 8.5 are carried in this plan because the plan owns the schedule and the shared database is still the v1.0 set. Until it is revised, two documents in this set can quote different task counts.</w:t>
            </w:r>
          </w:p>
        </w:tc>
        <w:tc>
          <w:tcPr>
            <w:tcW w:type="dxa" w:w="2721"/>
          </w:tcPr>
          <w:p>
            <w:pPr>
              <w:spacing w:after="20" w:before="20"/>
            </w:pPr>
            <w:r/>
            <w:r>
              <w:rPr>
                <w:b w:val="0"/>
                <w:sz w:val="14"/>
              </w:rPr>
              <w:t>Folding the five into the shared task database at its next revision (Annex D).</w:t>
            </w:r>
          </w:p>
        </w:tc>
      </w:tr>
    </w:tbl>
    <w:p>
      <w:pPr>
        <w:spacing w:after="100"/>
      </w:pPr>
      <w:r>
        <w:rPr>
          <w:b w:val="0"/>
          <w:i/>
          <w:sz w:val="16"/>
        </w:rPr>
        <w:t>Table — eleven objections, ordered by how likely each is to cost a review cycle rather than by how uncomfortable it is. None of them is hypothetical: every one is either a defect this edition found in the previous one or a limit the plan cannot design its way out of at this budget.</w:t>
      </w:r>
    </w:p>
    <w:p>
      <w:pPr>
        <w:spacing w:after="100"/>
      </w:pPr>
      <w:r>
        <w:rPr>
          <w:b w:val="0"/>
          <w:i/>
          <w:sz w:val="16"/>
        </w:rPr>
        <w:t>One further thing belongs here rather than in a risk table. This plan is a revision of a plan that contained arithmetic errors — four are recorded as closed in Annex E and this edition found more of its own, including a success criterion its own scope could not satisfy and a year table that did not sum to its own total. The corrections are named and dated in the sections that carry them. That is the only evidence available that the numbers in this edition were checked, and it is offered in place of an assurance.</w:t>
      </w:r>
    </w:p>
    <w:p>
      <w:r>
        <w:br w:type="page"/>
      </w:r>
    </w:p>
    <w:p>
      <w:pPr>
        <w:pStyle w:val="Heading1"/>
      </w:pPr>
      <w:r>
        <w:t>Annex A. Cost lines in full (all scenarios)</w:t>
      </w:r>
    </w:p>
    <w:p>
      <w:pPr>
        <w:spacing w:before="0" w:after="140" w:line="40" w:lineRule="exact"/>
        <w:pBdr>
          <w:bottom w:val="single" w:sz="16" w:space="0" w:color="E8A13D"/>
        </w:pBdr>
      </w:pPr>
      <w:r>
        <w:rPr>
          <w:sz w:val="2"/>
        </w:rPr>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cantSplit/>
        </w:trPr>
        <w:tc>
          <w:tcPr>
            <w:tcW w:type="dxa" w:w="2608"/>
            <w:shd w:val="clear" w:fill="0F2622"/>
          </w:tcPr>
          <w:p>
            <w:pPr>
              <w:spacing w:after="20" w:before="20"/>
            </w:pPr>
            <w:r/>
            <w:r>
              <w:rPr>
                <w:b/>
                <w:color w:val="FFFFFF"/>
                <w:sz w:val="13"/>
              </w:rPr>
              <w:t>Cost line</w:t>
            </w:r>
          </w:p>
        </w:tc>
        <w:tc>
          <w:tcPr>
            <w:tcW w:type="dxa" w:w="1020"/>
            <w:shd w:val="clear" w:fill="0F2622"/>
          </w:tcPr>
          <w:p>
            <w:pPr>
              <w:spacing w:after="20" w:before="20"/>
            </w:pPr>
            <w:r/>
            <w:r>
              <w:rPr>
                <w:b/>
                <w:color w:val="FFFFFF"/>
                <w:sz w:val="13"/>
              </w:rPr>
              <w:t>Lean (€)</w:t>
            </w:r>
          </w:p>
        </w:tc>
        <w:tc>
          <w:tcPr>
            <w:tcW w:type="dxa" w:w="1020"/>
            <w:shd w:val="clear" w:fill="0F2622"/>
          </w:tcPr>
          <w:p>
            <w:pPr>
              <w:spacing w:after="20" w:before="20"/>
            </w:pPr>
            <w:r/>
            <w:r>
              <w:rPr>
                <w:b/>
                <w:color w:val="FFFFFF"/>
                <w:sz w:val="13"/>
              </w:rPr>
              <w:t>Core (€)</w:t>
            </w:r>
          </w:p>
        </w:tc>
        <w:tc>
          <w:tcPr>
            <w:tcW w:type="dxa" w:w="1020"/>
            <w:shd w:val="clear" w:fill="0F2622"/>
          </w:tcPr>
          <w:p>
            <w:pPr>
              <w:spacing w:after="20" w:before="20"/>
            </w:pPr>
            <w:r/>
            <w:r>
              <w:rPr>
                <w:b/>
                <w:color w:val="FFFFFF"/>
                <w:sz w:val="13"/>
              </w:rPr>
              <w:t>Full (€)</w:t>
            </w:r>
          </w:p>
        </w:tc>
        <w:tc>
          <w:tcPr>
            <w:tcW w:type="dxa" w:w="1247"/>
            <w:shd w:val="clear" w:fill="0F2622"/>
          </w:tcPr>
          <w:p>
            <w:pPr>
              <w:spacing w:after="20" w:before="20"/>
            </w:pPr>
            <w:r/>
            <w:r>
              <w:rPr>
                <w:b/>
                <w:color w:val="FFFFFF"/>
                <w:sz w:val="13"/>
              </w:rPr>
              <w:t>Status</w:t>
            </w:r>
          </w:p>
        </w:tc>
        <w:tc>
          <w:tcPr>
            <w:tcW w:type="dxa" w:w="2721"/>
            <w:shd w:val="clear" w:fill="0F2622"/>
          </w:tcPr>
          <w:p>
            <w:pPr>
              <w:spacing w:after="20" w:before="20"/>
            </w:pPr>
            <w:r/>
            <w:r>
              <w:rPr>
                <w:b/>
                <w:color w:val="FFFFFF"/>
                <w:sz w:val="13"/>
              </w:rPr>
              <w:t>Basis note</w:t>
            </w:r>
          </w:p>
        </w:tc>
      </w:tr>
      <w:tr>
        <w:trPr>
          <w:cantSplit/>
        </w:trPr>
        <w:tc>
          <w:tcPr>
            <w:tcW w:type="dxa" w:w="2608"/>
          </w:tcPr>
          <w:p>
            <w:pPr>
              <w:spacing w:after="20" w:before="20"/>
            </w:pPr>
            <w:r/>
            <w:r>
              <w:rPr>
                <w:b w:val="0"/>
                <w:sz w:val="13"/>
              </w:rPr>
              <w:t>Principal investigator (0.25 / 0.5 / 1.0 FTE)</w:t>
            </w:r>
          </w:p>
        </w:tc>
        <w:tc>
          <w:tcPr>
            <w:tcW w:type="dxa" w:w="1020"/>
          </w:tcPr>
          <w:p>
            <w:pPr>
              <w:spacing w:after="20" w:before="20"/>
            </w:pPr>
            <w:r/>
            <w:r>
              <w:rPr>
                <w:b w:val="0"/>
                <w:sz w:val="13"/>
              </w:rPr>
              <w:t>150,000</w:t>
            </w:r>
          </w:p>
        </w:tc>
        <w:tc>
          <w:tcPr>
            <w:tcW w:type="dxa" w:w="1020"/>
          </w:tcPr>
          <w:p>
            <w:pPr>
              <w:spacing w:after="20" w:before="20"/>
            </w:pPr>
            <w:r/>
            <w:r>
              <w:rPr>
                <w:b w:val="0"/>
                <w:sz w:val="13"/>
              </w:rPr>
              <w:t>340,000</w:t>
            </w:r>
          </w:p>
        </w:tc>
        <w:tc>
          <w:tcPr>
            <w:tcW w:type="dxa" w:w="1020"/>
          </w:tcPr>
          <w:p>
            <w:pPr>
              <w:spacing w:after="20" w:before="20"/>
            </w:pPr>
            <w:r/>
            <w:r>
              <w:rPr>
                <w:b w:val="0"/>
                <w:sz w:val="13"/>
              </w:rPr>
              <w:t>720,000</w:t>
            </w:r>
          </w:p>
        </w:tc>
        <w:tc>
          <w:tcPr>
            <w:tcW w:type="dxa" w:w="1247"/>
          </w:tcPr>
          <w:p>
            <w:pPr>
              <w:spacing w:after="20" w:before="20"/>
            </w:pPr>
            <w:r/>
            <w:r>
              <w:rPr>
                <w:b w:val="0"/>
                <w:sz w:val="13"/>
              </w:rPr>
              <w:t>Modelled</w:t>
            </w:r>
          </w:p>
        </w:tc>
        <w:tc>
          <w:tcPr>
            <w:tcW w:type="dxa" w:w="2721"/>
          </w:tcPr>
          <w:p>
            <w:pPr>
              <w:spacing w:after="20" w:before="20"/>
            </w:pPr>
            <w:r/>
            <w:r>
              <w:rPr>
                <w:b w:val="0"/>
                <w:sz w:val="13"/>
              </w:rPr>
              <w:t>Loaded academic rate €70–90/h; may be contributed by a host institution</w:t>
            </w:r>
          </w:p>
        </w:tc>
      </w:tr>
      <w:tr>
        <w:trPr>
          <w:cantSplit/>
        </w:trPr>
        <w:tc>
          <w:tcPr>
            <w:tcW w:type="dxa" w:w="2608"/>
            <w:shd w:val="clear" w:fill="EAF4EF"/>
          </w:tcPr>
          <w:p>
            <w:pPr>
              <w:spacing w:after="20" w:before="20"/>
            </w:pPr>
            <w:r/>
            <w:r>
              <w:rPr>
                <w:b w:val="0"/>
                <w:sz w:val="13"/>
              </w:rPr>
              <w:t>Postdoctoral researchers (1 / 2 / 3)</w:t>
            </w:r>
          </w:p>
        </w:tc>
        <w:tc>
          <w:tcPr>
            <w:tcW w:type="dxa" w:w="1020"/>
            <w:shd w:val="clear" w:fill="EAF4EF"/>
          </w:tcPr>
          <w:p>
            <w:pPr>
              <w:spacing w:after="20" w:before="20"/>
            </w:pPr>
            <w:r/>
            <w:r>
              <w:rPr>
                <w:b w:val="0"/>
                <w:sz w:val="13"/>
              </w:rPr>
              <w:t>240,000</w:t>
            </w:r>
          </w:p>
        </w:tc>
        <w:tc>
          <w:tcPr>
            <w:tcW w:type="dxa" w:w="1020"/>
            <w:shd w:val="clear" w:fill="EAF4EF"/>
          </w:tcPr>
          <w:p>
            <w:pPr>
              <w:spacing w:after="20" w:before="20"/>
            </w:pPr>
            <w:r/>
            <w:r>
              <w:rPr>
                <w:b w:val="0"/>
                <w:sz w:val="13"/>
              </w:rPr>
              <w:t>560,000</w:t>
            </w:r>
          </w:p>
        </w:tc>
        <w:tc>
          <w:tcPr>
            <w:tcW w:type="dxa" w:w="1020"/>
            <w:shd w:val="clear" w:fill="EAF4EF"/>
          </w:tcPr>
          <w:p>
            <w:pPr>
              <w:spacing w:after="20" w:before="20"/>
            </w:pPr>
            <w:r/>
            <w:r>
              <w:rPr>
                <w:b w:val="0"/>
                <w:sz w:val="13"/>
              </w:rPr>
              <w:t>900,000</w:t>
            </w:r>
          </w:p>
        </w:tc>
        <w:tc>
          <w:tcPr>
            <w:tcW w:type="dxa" w:w="1247"/>
            <w:shd w:val="clear" w:fill="EAF4EF"/>
          </w:tcPr>
          <w:p>
            <w:pPr>
              <w:spacing w:after="20" w:before="20"/>
            </w:pPr>
            <w:r/>
            <w:r>
              <w:rPr>
                <w:b w:val="0"/>
                <w:sz w:val="13"/>
              </w:rPr>
              <w:t>Modelled</w:t>
            </w:r>
          </w:p>
        </w:tc>
        <w:tc>
          <w:tcPr>
            <w:tcW w:type="dxa" w:w="2721"/>
            <w:shd w:val="clear" w:fill="EAF4EF"/>
          </w:tcPr>
          <w:p>
            <w:pPr>
              <w:spacing w:after="20" w:before="20"/>
            </w:pPr>
            <w:r/>
            <w:r>
              <w:rPr>
                <w:b w:val="0"/>
                <w:sz w:val="13"/>
              </w:rPr>
              <w:t>Loaded €55–75k/yr each; 2–4 years</w:t>
            </w:r>
          </w:p>
        </w:tc>
      </w:tr>
      <w:tr>
        <w:trPr>
          <w:cantSplit/>
        </w:trPr>
        <w:tc>
          <w:tcPr>
            <w:tcW w:type="dxa" w:w="2608"/>
          </w:tcPr>
          <w:p>
            <w:pPr>
              <w:spacing w:after="20" w:before="20"/>
            </w:pPr>
            <w:r/>
            <w:r>
              <w:rPr>
                <w:b w:val="0"/>
                <w:sz w:val="13"/>
              </w:rPr>
              <w:t>Doctoral researchers (1 / 2 / 4)</w:t>
            </w:r>
          </w:p>
        </w:tc>
        <w:tc>
          <w:tcPr>
            <w:tcW w:type="dxa" w:w="1020"/>
          </w:tcPr>
          <w:p>
            <w:pPr>
              <w:spacing w:after="20" w:before="20"/>
            </w:pPr>
            <w:r/>
            <w:r>
              <w:rPr>
                <w:b w:val="0"/>
                <w:sz w:val="13"/>
              </w:rPr>
              <w:t>135,000</w:t>
            </w:r>
          </w:p>
        </w:tc>
        <w:tc>
          <w:tcPr>
            <w:tcW w:type="dxa" w:w="1020"/>
          </w:tcPr>
          <w:p>
            <w:pPr>
              <w:spacing w:after="20" w:before="20"/>
            </w:pPr>
            <w:r/>
            <w:r>
              <w:rPr>
                <w:b w:val="0"/>
                <w:sz w:val="13"/>
              </w:rPr>
              <w:t>320,000</w:t>
            </w:r>
          </w:p>
        </w:tc>
        <w:tc>
          <w:tcPr>
            <w:tcW w:type="dxa" w:w="1020"/>
          </w:tcPr>
          <w:p>
            <w:pPr>
              <w:spacing w:after="20" w:before="20"/>
            </w:pPr>
            <w:r/>
            <w:r>
              <w:rPr>
                <w:b w:val="0"/>
                <w:sz w:val="13"/>
              </w:rPr>
              <w:t>680,000</w:t>
            </w:r>
          </w:p>
        </w:tc>
        <w:tc>
          <w:tcPr>
            <w:tcW w:type="dxa" w:w="1247"/>
          </w:tcPr>
          <w:p>
            <w:pPr>
              <w:spacing w:after="20" w:before="20"/>
            </w:pPr>
            <w:r/>
            <w:r>
              <w:rPr>
                <w:b w:val="0"/>
                <w:sz w:val="13"/>
              </w:rPr>
              <w:t>Modelled</w:t>
            </w:r>
          </w:p>
        </w:tc>
        <w:tc>
          <w:tcPr>
            <w:tcW w:type="dxa" w:w="2721"/>
          </w:tcPr>
          <w:p>
            <w:pPr>
              <w:spacing w:after="20" w:before="20"/>
            </w:pPr>
            <w:r/>
            <w:r>
              <w:rPr>
                <w:b w:val="0"/>
                <w:sz w:val="13"/>
              </w:rPr>
              <w:t>MSCA-style €45–55k/yr fully loaded</w:t>
            </w:r>
          </w:p>
        </w:tc>
      </w:tr>
      <w:tr>
        <w:trPr>
          <w:cantSplit/>
        </w:trPr>
        <w:tc>
          <w:tcPr>
            <w:tcW w:type="dxa" w:w="2608"/>
            <w:shd w:val="clear" w:fill="EAF4EF"/>
          </w:tcPr>
          <w:p>
            <w:pPr>
              <w:spacing w:after="20" w:before="20"/>
            </w:pPr>
            <w:r/>
            <w:r>
              <w:rPr>
                <w:b w:val="0"/>
                <w:sz w:val="13"/>
              </w:rPr>
              <w:t>Research engineers &amp; data steward (0.5 / 2 / 3.5)</w:t>
            </w:r>
          </w:p>
        </w:tc>
        <w:tc>
          <w:tcPr>
            <w:tcW w:type="dxa" w:w="1020"/>
            <w:shd w:val="clear" w:fill="EAF4EF"/>
          </w:tcPr>
          <w:p>
            <w:pPr>
              <w:spacing w:after="20" w:before="20"/>
            </w:pPr>
            <w:r/>
            <w:r>
              <w:rPr>
                <w:b w:val="0"/>
                <w:sz w:val="13"/>
              </w:rPr>
              <w:t>105,000</w:t>
            </w:r>
          </w:p>
        </w:tc>
        <w:tc>
          <w:tcPr>
            <w:tcW w:type="dxa" w:w="1020"/>
            <w:shd w:val="clear" w:fill="EAF4EF"/>
          </w:tcPr>
          <w:p>
            <w:pPr>
              <w:spacing w:after="20" w:before="20"/>
            </w:pPr>
            <w:r/>
            <w:r>
              <w:rPr>
                <w:b w:val="0"/>
                <w:sz w:val="13"/>
              </w:rPr>
              <w:t>480,000</w:t>
            </w:r>
          </w:p>
        </w:tc>
        <w:tc>
          <w:tcPr>
            <w:tcW w:type="dxa" w:w="1020"/>
            <w:shd w:val="clear" w:fill="EAF4EF"/>
          </w:tcPr>
          <w:p>
            <w:pPr>
              <w:spacing w:after="20" w:before="20"/>
            </w:pPr>
            <w:r/>
            <w:r>
              <w:rPr>
                <w:b w:val="0"/>
                <w:sz w:val="13"/>
              </w:rPr>
              <w:t>900,000</w:t>
            </w:r>
          </w:p>
        </w:tc>
        <w:tc>
          <w:tcPr>
            <w:tcW w:type="dxa" w:w="1247"/>
            <w:shd w:val="clear" w:fill="EAF4EF"/>
          </w:tcPr>
          <w:p>
            <w:pPr>
              <w:spacing w:after="20" w:before="20"/>
            </w:pPr>
            <w:r/>
            <w:r>
              <w:rPr>
                <w:b w:val="0"/>
                <w:sz w:val="13"/>
              </w:rPr>
              <w:t>Modelled — under band</w:t>
            </w:r>
          </w:p>
        </w:tc>
        <w:tc>
          <w:tcPr>
            <w:tcW w:type="dxa" w:w="2721"/>
            <w:shd w:val="clear" w:fill="EAF4EF"/>
          </w:tcPr>
          <w:p>
            <w:pPr>
              <w:spacing w:after="20" w:before="20"/>
            </w:pPr>
            <w:r/>
            <w:r>
              <w:rPr>
                <w:b w:val="0"/>
                <w:sz w:val="13"/>
              </w:rPr>
              <w:t>€70–110/h; includes platform, harnesses, releases</w:t>
            </w:r>
          </w:p>
        </w:tc>
      </w:tr>
      <w:tr>
        <w:trPr>
          <w:cantSplit/>
        </w:trPr>
        <w:tc>
          <w:tcPr>
            <w:tcW w:type="dxa" w:w="2608"/>
          </w:tcPr>
          <w:p>
            <w:pPr>
              <w:spacing w:after="20" w:before="20"/>
            </w:pPr>
            <w:r/>
            <w:r>
              <w:rPr>
                <w:b w:val="0"/>
                <w:sz w:val="13"/>
              </w:rPr>
              <w:t>Statistician &amp; psychometrician (0.2 / 0.5 / 1.0)</w:t>
            </w:r>
          </w:p>
        </w:tc>
        <w:tc>
          <w:tcPr>
            <w:tcW w:type="dxa" w:w="1020"/>
          </w:tcPr>
          <w:p>
            <w:pPr>
              <w:spacing w:after="20" w:before="20"/>
            </w:pPr>
            <w:r/>
            <w:r>
              <w:rPr>
                <w:b w:val="0"/>
                <w:sz w:val="13"/>
              </w:rPr>
              <w:t>55,000</w:t>
            </w:r>
          </w:p>
        </w:tc>
        <w:tc>
          <w:tcPr>
            <w:tcW w:type="dxa" w:w="1020"/>
          </w:tcPr>
          <w:p>
            <w:pPr>
              <w:spacing w:after="20" w:before="20"/>
            </w:pPr>
            <w:r/>
            <w:r>
              <w:rPr>
                <w:b w:val="0"/>
                <w:sz w:val="13"/>
              </w:rPr>
              <w:t>180,000</w:t>
            </w:r>
          </w:p>
        </w:tc>
        <w:tc>
          <w:tcPr>
            <w:tcW w:type="dxa" w:w="1020"/>
          </w:tcPr>
          <w:p>
            <w:pPr>
              <w:spacing w:after="20" w:before="20"/>
            </w:pPr>
            <w:r/>
            <w:r>
              <w:rPr>
                <w:b w:val="0"/>
                <w:sz w:val="13"/>
              </w:rPr>
              <w:t>400,000</w:t>
            </w:r>
          </w:p>
        </w:tc>
        <w:tc>
          <w:tcPr>
            <w:tcW w:type="dxa" w:w="1247"/>
          </w:tcPr>
          <w:p>
            <w:pPr>
              <w:spacing w:after="20" w:before="20"/>
            </w:pPr>
            <w:r/>
            <w:r>
              <w:rPr>
                <w:b w:val="0"/>
                <w:sz w:val="13"/>
              </w:rPr>
              <w:t>Modelled — under band</w:t>
            </w:r>
          </w:p>
        </w:tc>
        <w:tc>
          <w:tcPr>
            <w:tcW w:type="dxa" w:w="2721"/>
          </w:tcPr>
          <w:p>
            <w:pPr>
              <w:spacing w:after="20" w:before="20"/>
            </w:pPr>
            <w:r/>
            <w:r>
              <w:rPr>
                <w:b w:val="0"/>
                <w:sz w:val="13"/>
              </w:rPr>
              <w:t>Methodological core; independent of collector</w:t>
            </w:r>
          </w:p>
        </w:tc>
      </w:tr>
      <w:tr>
        <w:trPr>
          <w:cantSplit/>
        </w:trPr>
        <w:tc>
          <w:tcPr>
            <w:tcW w:type="dxa" w:w="2608"/>
            <w:shd w:val="clear" w:fill="EAF4EF"/>
          </w:tcPr>
          <w:p>
            <w:pPr>
              <w:spacing w:after="20" w:before="20"/>
            </w:pPr>
            <w:r/>
            <w:r>
              <w:rPr>
                <w:b w:val="0"/>
                <w:sz w:val="13"/>
              </w:rPr>
              <w:t>Operations, legal, governance &amp; ethics (0.3 / 1.0 / 2.5)</w:t>
            </w:r>
          </w:p>
        </w:tc>
        <w:tc>
          <w:tcPr>
            <w:tcW w:type="dxa" w:w="1020"/>
            <w:shd w:val="clear" w:fill="EAF4EF"/>
          </w:tcPr>
          <w:p>
            <w:pPr>
              <w:spacing w:after="20" w:before="20"/>
            </w:pPr>
            <w:r/>
            <w:r>
              <w:rPr>
                <w:b w:val="0"/>
                <w:sz w:val="13"/>
              </w:rPr>
              <w:t>60,000</w:t>
            </w:r>
          </w:p>
        </w:tc>
        <w:tc>
          <w:tcPr>
            <w:tcW w:type="dxa" w:w="1020"/>
            <w:shd w:val="clear" w:fill="EAF4EF"/>
          </w:tcPr>
          <w:p>
            <w:pPr>
              <w:spacing w:after="20" w:before="20"/>
            </w:pPr>
            <w:r/>
            <w:r>
              <w:rPr>
                <w:b w:val="0"/>
                <w:sz w:val="13"/>
              </w:rPr>
              <w:t>300,000</w:t>
            </w:r>
          </w:p>
        </w:tc>
        <w:tc>
          <w:tcPr>
            <w:tcW w:type="dxa" w:w="1020"/>
            <w:shd w:val="clear" w:fill="EAF4EF"/>
          </w:tcPr>
          <w:p>
            <w:pPr>
              <w:spacing w:after="20" w:before="20"/>
            </w:pPr>
            <w:r/>
            <w:r>
              <w:rPr>
                <w:b w:val="0"/>
                <w:sz w:val="13"/>
              </w:rPr>
              <w:t>800,000</w:t>
            </w:r>
          </w:p>
        </w:tc>
        <w:tc>
          <w:tcPr>
            <w:tcW w:type="dxa" w:w="1247"/>
            <w:shd w:val="clear" w:fill="EAF4EF"/>
          </w:tcPr>
          <w:p>
            <w:pPr>
              <w:spacing w:after="20" w:before="20"/>
            </w:pPr>
            <w:r/>
            <w:r>
              <w:rPr>
                <w:b w:val="0"/>
                <w:sz w:val="13"/>
              </w:rPr>
              <w:t>Modelled</w:t>
            </w:r>
          </w:p>
        </w:tc>
        <w:tc>
          <w:tcPr>
            <w:tcW w:type="dxa" w:w="2721"/>
            <w:shd w:val="clear" w:fill="EAF4EF"/>
          </w:tcPr>
          <w:p>
            <w:pPr>
              <w:spacing w:after="20" w:before="20"/>
            </w:pPr>
            <w:r/>
            <w:r>
              <w:rPr>
                <w:b w:val="0"/>
                <w:sz w:val="13"/>
              </w:rPr>
              <w:t>Includes DPIA, contracts, oversight honoraria</w:t>
            </w:r>
          </w:p>
        </w:tc>
      </w:tr>
      <w:tr>
        <w:trPr>
          <w:cantSplit/>
        </w:trPr>
        <w:tc>
          <w:tcPr>
            <w:tcW w:type="dxa" w:w="2608"/>
          </w:tcPr>
          <w:p>
            <w:pPr>
              <w:spacing w:after="20" w:before="20"/>
            </w:pPr>
            <w:r/>
            <w:r>
              <w:rPr>
                <w:b w:val="0"/>
                <w:sz w:val="13"/>
              </w:rPr>
              <w:t>Model inference &amp; compute (API + cluster share)</w:t>
            </w:r>
          </w:p>
        </w:tc>
        <w:tc>
          <w:tcPr>
            <w:tcW w:type="dxa" w:w="1020"/>
          </w:tcPr>
          <w:p>
            <w:pPr>
              <w:spacing w:after="20" w:before="20"/>
            </w:pPr>
            <w:r/>
            <w:r>
              <w:rPr>
                <w:b w:val="0"/>
                <w:sz w:val="13"/>
              </w:rPr>
              <w:t>90,000</w:t>
            </w:r>
          </w:p>
        </w:tc>
        <w:tc>
          <w:tcPr>
            <w:tcW w:type="dxa" w:w="1020"/>
          </w:tcPr>
          <w:p>
            <w:pPr>
              <w:spacing w:after="20" w:before="20"/>
            </w:pPr>
            <w:r/>
            <w:r>
              <w:rPr>
                <w:b w:val="0"/>
                <w:sz w:val="13"/>
              </w:rPr>
              <w:t>450,000</w:t>
            </w:r>
          </w:p>
        </w:tc>
        <w:tc>
          <w:tcPr>
            <w:tcW w:type="dxa" w:w="1020"/>
          </w:tcPr>
          <w:p>
            <w:pPr>
              <w:spacing w:after="20" w:before="20"/>
            </w:pPr>
            <w:r/>
            <w:r>
              <w:rPr>
                <w:b w:val="0"/>
                <w:sz w:val="13"/>
              </w:rPr>
              <w:t>1,200,000</w:t>
            </w:r>
          </w:p>
        </w:tc>
        <w:tc>
          <w:tcPr>
            <w:tcW w:type="dxa" w:w="1247"/>
          </w:tcPr>
          <w:p>
            <w:pPr>
              <w:spacing w:after="20" w:before="20"/>
            </w:pPr>
            <w:r/>
            <w:r>
              <w:rPr>
                <w:b w:val="0"/>
                <w:sz w:val="13"/>
              </w:rPr>
              <w:t>Placeholder inside an envelope</w:t>
            </w:r>
          </w:p>
        </w:tc>
        <w:tc>
          <w:tcPr>
            <w:tcW w:type="dxa" w:w="2721"/>
          </w:tcPr>
          <w:p>
            <w:pPr>
              <w:spacing w:after="20" w:before="20"/>
            </w:pPr>
            <w:r/>
            <w:r>
              <w:rPr>
                <w:b w:val="0"/>
                <w:sz w:val="13"/>
              </w:rPr>
              <w:t>N≥20 runs/item, 360 items, 6+ families; local controls; 46 differential batteries (the WP3 priority set, not all 90 entries)</w:t>
            </w:r>
          </w:p>
        </w:tc>
      </w:tr>
      <w:tr>
        <w:trPr>
          <w:cantSplit/>
        </w:trPr>
        <w:tc>
          <w:tcPr>
            <w:tcW w:type="dxa" w:w="2608"/>
            <w:shd w:val="clear" w:fill="EAF4EF"/>
          </w:tcPr>
          <w:p>
            <w:pPr>
              <w:spacing w:after="20" w:before="20"/>
            </w:pPr>
            <w:r/>
            <w:r>
              <w:rPr>
                <w:b w:val="0"/>
                <w:sz w:val="13"/>
              </w:rPr>
              <w:t>Annotation &amp; scoring labour (incl. rater teams)</w:t>
            </w:r>
          </w:p>
        </w:tc>
        <w:tc>
          <w:tcPr>
            <w:tcW w:type="dxa" w:w="1020"/>
            <w:shd w:val="clear" w:fill="EAF4EF"/>
          </w:tcPr>
          <w:p>
            <w:pPr>
              <w:spacing w:after="20" w:before="20"/>
            </w:pPr>
            <w:r/>
            <w:r>
              <w:rPr>
                <w:b w:val="0"/>
                <w:sz w:val="13"/>
              </w:rPr>
              <w:t>45,000</w:t>
            </w:r>
          </w:p>
        </w:tc>
        <w:tc>
          <w:tcPr>
            <w:tcW w:type="dxa" w:w="1020"/>
            <w:shd w:val="clear" w:fill="EAF4EF"/>
          </w:tcPr>
          <w:p>
            <w:pPr>
              <w:spacing w:after="20" w:before="20"/>
            </w:pPr>
            <w:r/>
            <w:r>
              <w:rPr>
                <w:b w:val="0"/>
                <w:sz w:val="13"/>
              </w:rPr>
              <w:t>220,000</w:t>
            </w:r>
          </w:p>
        </w:tc>
        <w:tc>
          <w:tcPr>
            <w:tcW w:type="dxa" w:w="1020"/>
            <w:shd w:val="clear" w:fill="EAF4EF"/>
          </w:tcPr>
          <w:p>
            <w:pPr>
              <w:spacing w:after="20" w:before="20"/>
            </w:pPr>
            <w:r/>
            <w:r>
              <w:rPr>
                <w:b w:val="0"/>
                <w:sz w:val="13"/>
              </w:rPr>
              <w:t>540,000</w:t>
            </w:r>
          </w:p>
        </w:tc>
        <w:tc>
          <w:tcPr>
            <w:tcW w:type="dxa" w:w="1247"/>
            <w:shd w:val="clear" w:fill="EAF4EF"/>
          </w:tcPr>
          <w:p>
            <w:pPr>
              <w:spacing w:after="20" w:before="20"/>
            </w:pPr>
            <w:r/>
            <w:r>
              <w:rPr>
                <w:b w:val="0"/>
                <w:sz w:val="13"/>
              </w:rPr>
              <w:t>Modelled</w:t>
            </w:r>
          </w:p>
        </w:tc>
        <w:tc>
          <w:tcPr>
            <w:tcW w:type="dxa" w:w="2721"/>
            <w:shd w:val="clear" w:fill="EAF4EF"/>
          </w:tcPr>
          <w:p>
            <w:pPr>
              <w:spacing w:after="20" w:before="20"/>
            </w:pPr>
            <w:r/>
            <w:r>
              <w:rPr>
                <w:b w:val="0"/>
                <w:sz w:val="13"/>
              </w:rPr>
              <w:t>Blinded scoring; reliability sample; adjudication; scoped to the 46-entry priority set (COST_BASIS_V11)</w:t>
            </w:r>
          </w:p>
        </w:tc>
      </w:tr>
      <w:tr>
        <w:trPr>
          <w:cantSplit/>
        </w:trPr>
        <w:tc>
          <w:tcPr>
            <w:tcW w:type="dxa" w:w="2608"/>
          </w:tcPr>
          <w:p>
            <w:pPr>
              <w:spacing w:after="20" w:before="20"/>
            </w:pPr>
            <w:r/>
            <w:r>
              <w:rPr>
                <w:b w:val="0"/>
                <w:sz w:val="13"/>
              </w:rPr>
              <w:t>Containment infrastructure (induction lab)</w:t>
            </w:r>
          </w:p>
        </w:tc>
        <w:tc>
          <w:tcPr>
            <w:tcW w:type="dxa" w:w="1020"/>
          </w:tcPr>
          <w:p>
            <w:pPr>
              <w:spacing w:after="20" w:before="20"/>
            </w:pPr>
            <w:r/>
            <w:r>
              <w:rPr>
                <w:b w:val="0"/>
                <w:sz w:val="13"/>
              </w:rPr>
              <w:t>25,000</w:t>
            </w:r>
          </w:p>
        </w:tc>
        <w:tc>
          <w:tcPr>
            <w:tcW w:type="dxa" w:w="1020"/>
          </w:tcPr>
          <w:p>
            <w:pPr>
              <w:spacing w:after="20" w:before="20"/>
            </w:pPr>
            <w:r/>
            <w:r>
              <w:rPr>
                <w:b w:val="0"/>
                <w:sz w:val="13"/>
              </w:rPr>
              <w:t>120,000</w:t>
            </w:r>
          </w:p>
        </w:tc>
        <w:tc>
          <w:tcPr>
            <w:tcW w:type="dxa" w:w="1020"/>
          </w:tcPr>
          <w:p>
            <w:pPr>
              <w:spacing w:after="20" w:before="20"/>
            </w:pPr>
            <w:r/>
            <w:r>
              <w:rPr>
                <w:b w:val="0"/>
                <w:sz w:val="13"/>
              </w:rPr>
              <w:t>350,000</w:t>
            </w:r>
          </w:p>
        </w:tc>
        <w:tc>
          <w:tcPr>
            <w:tcW w:type="dxa" w:w="1247"/>
          </w:tcPr>
          <w:p>
            <w:pPr>
              <w:spacing w:after="20" w:before="20"/>
            </w:pPr>
            <w:r/>
            <w:r>
              <w:rPr>
                <w:b w:val="0"/>
                <w:sz w:val="13"/>
              </w:rPr>
              <w:t>Modelled + placeholder</w:t>
            </w:r>
          </w:p>
        </w:tc>
        <w:tc>
          <w:tcPr>
            <w:tcW w:type="dxa" w:w="2721"/>
          </w:tcPr>
          <w:p>
            <w:pPr>
              <w:spacing w:after="20" w:before="20"/>
            </w:pPr>
            <w:r/>
            <w:r>
              <w:rPr>
                <w:b w:val="0"/>
                <w:sz w:val="13"/>
              </w:rPr>
              <w:t>Air-gapped training tier, custody hardware, destruction rig</w:t>
            </w:r>
          </w:p>
        </w:tc>
      </w:tr>
      <w:tr>
        <w:trPr>
          <w:cantSplit/>
        </w:trPr>
        <w:tc>
          <w:tcPr>
            <w:tcW w:type="dxa" w:w="2608"/>
            <w:shd w:val="clear" w:fill="EAF4EF"/>
          </w:tcPr>
          <w:p>
            <w:pPr>
              <w:spacing w:after="20" w:before="20"/>
            </w:pPr>
            <w:r/>
            <w:r>
              <w:rPr>
                <w:b w:val="0"/>
                <w:sz w:val="13"/>
              </w:rPr>
              <w:t>Training-set curation (CFC) &amp; licensing review</w:t>
            </w:r>
          </w:p>
        </w:tc>
        <w:tc>
          <w:tcPr>
            <w:tcW w:type="dxa" w:w="1020"/>
            <w:shd w:val="clear" w:fill="EAF4EF"/>
          </w:tcPr>
          <w:p>
            <w:pPr>
              <w:spacing w:after="20" w:before="20"/>
            </w:pPr>
            <w:r/>
            <w:r>
              <w:rPr>
                <w:b w:val="0"/>
                <w:sz w:val="13"/>
              </w:rPr>
              <w:t>20,000</w:t>
            </w:r>
          </w:p>
        </w:tc>
        <w:tc>
          <w:tcPr>
            <w:tcW w:type="dxa" w:w="1020"/>
            <w:shd w:val="clear" w:fill="EAF4EF"/>
          </w:tcPr>
          <w:p>
            <w:pPr>
              <w:spacing w:after="20" w:before="20"/>
            </w:pPr>
            <w:r/>
            <w:r>
              <w:rPr>
                <w:b w:val="0"/>
                <w:sz w:val="13"/>
              </w:rPr>
              <w:t>90,000</w:t>
            </w:r>
          </w:p>
        </w:tc>
        <w:tc>
          <w:tcPr>
            <w:tcW w:type="dxa" w:w="1020"/>
            <w:shd w:val="clear" w:fill="EAF4EF"/>
          </w:tcPr>
          <w:p>
            <w:pPr>
              <w:spacing w:after="20" w:before="20"/>
            </w:pPr>
            <w:r/>
            <w:r>
              <w:rPr>
                <w:b w:val="0"/>
                <w:sz w:val="13"/>
              </w:rPr>
              <w:t>260,000</w:t>
            </w:r>
          </w:p>
        </w:tc>
        <w:tc>
          <w:tcPr>
            <w:tcW w:type="dxa" w:w="1247"/>
            <w:shd w:val="clear" w:fill="EAF4EF"/>
          </w:tcPr>
          <w:p>
            <w:pPr>
              <w:spacing w:after="20" w:before="20"/>
            </w:pPr>
            <w:r/>
            <w:r>
              <w:rPr>
                <w:b w:val="0"/>
                <w:sz w:val="13"/>
              </w:rPr>
              <w:t>Modelled</w:t>
            </w:r>
          </w:p>
        </w:tc>
        <w:tc>
          <w:tcPr>
            <w:tcW w:type="dxa" w:w="2721"/>
            <w:shd w:val="clear" w:fill="EAF4EF"/>
          </w:tcPr>
          <w:p>
            <w:pPr>
              <w:spacing w:after="20" w:before="20"/>
            </w:pPr>
            <w:r/>
            <w:r>
              <w:rPr>
                <w:b w:val="0"/>
                <w:sz w:val="13"/>
              </w:rPr>
              <w:t>Licence-clean corpora; data cards; maintenance</w:t>
            </w:r>
          </w:p>
        </w:tc>
      </w:tr>
      <w:tr>
        <w:trPr>
          <w:cantSplit/>
        </w:trPr>
        <w:tc>
          <w:tcPr>
            <w:tcW w:type="dxa" w:w="2608"/>
          </w:tcPr>
          <w:p>
            <w:pPr>
              <w:spacing w:after="20" w:before="20"/>
            </w:pPr>
            <w:r/>
            <w:r>
              <w:rPr>
                <w:b w:val="0"/>
                <w:sz w:val="13"/>
              </w:rPr>
              <w:t>Independent review, audits &amp; certification pilot</w:t>
            </w:r>
          </w:p>
        </w:tc>
        <w:tc>
          <w:tcPr>
            <w:tcW w:type="dxa" w:w="1020"/>
          </w:tcPr>
          <w:p>
            <w:pPr>
              <w:spacing w:after="20" w:before="20"/>
            </w:pPr>
            <w:r/>
            <w:r>
              <w:rPr>
                <w:b w:val="0"/>
                <w:sz w:val="13"/>
              </w:rPr>
              <w:t>40,000</w:t>
            </w:r>
          </w:p>
        </w:tc>
        <w:tc>
          <w:tcPr>
            <w:tcW w:type="dxa" w:w="1020"/>
          </w:tcPr>
          <w:p>
            <w:pPr>
              <w:spacing w:after="20" w:before="20"/>
            </w:pPr>
            <w:r/>
            <w:r>
              <w:rPr>
                <w:b w:val="0"/>
                <w:sz w:val="13"/>
              </w:rPr>
              <w:t>180,000</w:t>
            </w:r>
          </w:p>
        </w:tc>
        <w:tc>
          <w:tcPr>
            <w:tcW w:type="dxa" w:w="1020"/>
          </w:tcPr>
          <w:p>
            <w:pPr>
              <w:spacing w:after="20" w:before="20"/>
            </w:pPr>
            <w:r/>
            <w:r>
              <w:rPr>
                <w:b w:val="0"/>
                <w:sz w:val="13"/>
              </w:rPr>
              <w:t>520,000</w:t>
            </w:r>
          </w:p>
        </w:tc>
        <w:tc>
          <w:tcPr>
            <w:tcW w:type="dxa" w:w="1247"/>
          </w:tcPr>
          <w:p>
            <w:pPr>
              <w:spacing w:after="20" w:before="20"/>
            </w:pPr>
            <w:r/>
            <w:r>
              <w:rPr>
                <w:b w:val="0"/>
                <w:sz w:val="13"/>
              </w:rPr>
              <w:t>Modelled</w:t>
            </w:r>
          </w:p>
        </w:tc>
        <w:tc>
          <w:tcPr>
            <w:tcW w:type="dxa" w:w="2721"/>
          </w:tcPr>
          <w:p>
            <w:pPr>
              <w:spacing w:after="20" w:before="20"/>
            </w:pPr>
            <w:r/>
            <w:r>
              <w:rPr>
                <w:b w:val="0"/>
                <w:sz w:val="13"/>
              </w:rPr>
              <w:t>Containment audits, standards legal review, accreditation consultant</w:t>
            </w:r>
          </w:p>
        </w:tc>
      </w:tr>
      <w:tr>
        <w:trPr>
          <w:cantSplit/>
        </w:trPr>
        <w:tc>
          <w:tcPr>
            <w:tcW w:type="dxa" w:w="2608"/>
            <w:shd w:val="clear" w:fill="EAF4EF"/>
          </w:tcPr>
          <w:p>
            <w:pPr>
              <w:spacing w:after="20" w:before="20"/>
            </w:pPr>
            <w:r/>
            <w:r>
              <w:rPr>
                <w:b w:val="0"/>
                <w:sz w:val="13"/>
              </w:rPr>
              <w:t>External panels &amp; expert elicitation</w:t>
            </w:r>
          </w:p>
        </w:tc>
        <w:tc>
          <w:tcPr>
            <w:tcW w:type="dxa" w:w="1020"/>
            <w:shd w:val="clear" w:fill="EAF4EF"/>
          </w:tcPr>
          <w:p>
            <w:pPr>
              <w:spacing w:after="20" w:before="20"/>
            </w:pPr>
            <w:r/>
            <w:r>
              <w:rPr>
                <w:b w:val="0"/>
                <w:sz w:val="13"/>
              </w:rPr>
              <w:t>15,000</w:t>
            </w:r>
          </w:p>
        </w:tc>
        <w:tc>
          <w:tcPr>
            <w:tcW w:type="dxa" w:w="1020"/>
            <w:shd w:val="clear" w:fill="EAF4EF"/>
          </w:tcPr>
          <w:p>
            <w:pPr>
              <w:spacing w:after="20" w:before="20"/>
            </w:pPr>
            <w:r/>
            <w:r>
              <w:rPr>
                <w:b w:val="0"/>
                <w:sz w:val="13"/>
              </w:rPr>
              <w:t>65,000</w:t>
            </w:r>
          </w:p>
        </w:tc>
        <w:tc>
          <w:tcPr>
            <w:tcW w:type="dxa" w:w="1020"/>
            <w:shd w:val="clear" w:fill="EAF4EF"/>
          </w:tcPr>
          <w:p>
            <w:pPr>
              <w:spacing w:after="20" w:before="20"/>
            </w:pPr>
            <w:r/>
            <w:r>
              <w:rPr>
                <w:b w:val="0"/>
                <w:sz w:val="13"/>
              </w:rPr>
              <w:t>140,000</w:t>
            </w:r>
          </w:p>
        </w:tc>
        <w:tc>
          <w:tcPr>
            <w:tcW w:type="dxa" w:w="1247"/>
            <w:shd w:val="clear" w:fill="EAF4EF"/>
          </w:tcPr>
          <w:p>
            <w:pPr>
              <w:spacing w:after="20" w:before="20"/>
            </w:pPr>
            <w:r/>
            <w:r>
              <w:rPr>
                <w:b w:val="0"/>
                <w:sz w:val="13"/>
              </w:rPr>
              <w:t>Modelled</w:t>
            </w:r>
          </w:p>
        </w:tc>
        <w:tc>
          <w:tcPr>
            <w:tcW w:type="dxa" w:w="2721"/>
            <w:shd w:val="clear" w:fill="EAF4EF"/>
          </w:tcPr>
          <w:p>
            <w:pPr>
              <w:spacing w:after="20" w:before="20"/>
            </w:pPr>
            <w:r/>
            <w:r>
              <w:rPr>
                <w:b w:val="0"/>
                <w:sz w:val="13"/>
              </w:rPr>
              <w:t>Delphi panels per axis; trait adjudication</w:t>
            </w:r>
          </w:p>
        </w:tc>
      </w:tr>
      <w:tr>
        <w:trPr>
          <w:cantSplit/>
        </w:trPr>
        <w:tc>
          <w:tcPr>
            <w:tcW w:type="dxa" w:w="2608"/>
          </w:tcPr>
          <w:p>
            <w:pPr>
              <w:spacing w:after="20" w:before="20"/>
            </w:pPr>
            <w:r/>
            <w:r>
              <w:rPr>
                <w:b w:val="0"/>
                <w:sz w:val="13"/>
              </w:rPr>
              <w:t>Travel, workshops &amp; conferences</w:t>
            </w:r>
          </w:p>
        </w:tc>
        <w:tc>
          <w:tcPr>
            <w:tcW w:type="dxa" w:w="1020"/>
          </w:tcPr>
          <w:p>
            <w:pPr>
              <w:spacing w:after="20" w:before="20"/>
            </w:pPr>
            <w:r/>
            <w:r>
              <w:rPr>
                <w:b w:val="0"/>
                <w:sz w:val="13"/>
              </w:rPr>
              <w:t>25,000</w:t>
            </w:r>
          </w:p>
        </w:tc>
        <w:tc>
          <w:tcPr>
            <w:tcW w:type="dxa" w:w="1020"/>
          </w:tcPr>
          <w:p>
            <w:pPr>
              <w:spacing w:after="20" w:before="20"/>
            </w:pPr>
            <w:r/>
            <w:r>
              <w:rPr>
                <w:b w:val="0"/>
                <w:sz w:val="13"/>
              </w:rPr>
              <w:t>140,000</w:t>
            </w:r>
          </w:p>
        </w:tc>
        <w:tc>
          <w:tcPr>
            <w:tcW w:type="dxa" w:w="1020"/>
          </w:tcPr>
          <w:p>
            <w:pPr>
              <w:spacing w:after="20" w:before="20"/>
            </w:pPr>
            <w:r/>
            <w:r>
              <w:rPr>
                <w:b w:val="0"/>
                <w:sz w:val="13"/>
              </w:rPr>
              <w:t>380,000</w:t>
            </w:r>
          </w:p>
        </w:tc>
        <w:tc>
          <w:tcPr>
            <w:tcW w:type="dxa" w:w="1247"/>
          </w:tcPr>
          <w:p>
            <w:pPr>
              <w:spacing w:after="20" w:before="20"/>
            </w:pPr>
            <w:r/>
            <w:r>
              <w:rPr>
                <w:b w:val="0"/>
                <w:sz w:val="13"/>
              </w:rPr>
              <w:t>Modelled</w:t>
            </w:r>
          </w:p>
        </w:tc>
        <w:tc>
          <w:tcPr>
            <w:tcW w:type="dxa" w:w="2721"/>
          </w:tcPr>
          <w:p>
            <w:pPr>
              <w:spacing w:after="20" w:before="20"/>
            </w:pPr>
            <w:r/>
            <w:r>
              <w:rPr>
                <w:b w:val="0"/>
                <w:sz w:val="13"/>
              </w:rPr>
              <w:t>Two consortia meetings/yr; conference cycles</w:t>
            </w:r>
          </w:p>
        </w:tc>
      </w:tr>
      <w:tr>
        <w:trPr>
          <w:cantSplit/>
        </w:trPr>
        <w:tc>
          <w:tcPr>
            <w:tcW w:type="dxa" w:w="2608"/>
            <w:shd w:val="clear" w:fill="EAF4EF"/>
          </w:tcPr>
          <w:p>
            <w:pPr>
              <w:spacing w:after="20" w:before="20"/>
            </w:pPr>
            <w:r/>
            <w:r>
              <w:rPr>
                <w:b w:val="0"/>
                <w:sz w:val="13"/>
              </w:rPr>
              <w:t>Publication (open access) &amp; data hosting</w:t>
            </w:r>
          </w:p>
        </w:tc>
        <w:tc>
          <w:tcPr>
            <w:tcW w:type="dxa" w:w="1020"/>
            <w:shd w:val="clear" w:fill="EAF4EF"/>
          </w:tcPr>
          <w:p>
            <w:pPr>
              <w:spacing w:after="20" w:before="20"/>
            </w:pPr>
            <w:r/>
            <w:r>
              <w:rPr>
                <w:b w:val="0"/>
                <w:sz w:val="13"/>
              </w:rPr>
              <w:t>15,000</w:t>
            </w:r>
          </w:p>
        </w:tc>
        <w:tc>
          <w:tcPr>
            <w:tcW w:type="dxa" w:w="1020"/>
            <w:shd w:val="clear" w:fill="EAF4EF"/>
          </w:tcPr>
          <w:p>
            <w:pPr>
              <w:spacing w:after="20" w:before="20"/>
            </w:pPr>
            <w:r/>
            <w:r>
              <w:rPr>
                <w:b w:val="0"/>
                <w:sz w:val="13"/>
              </w:rPr>
              <w:t>70,000</w:t>
            </w:r>
          </w:p>
        </w:tc>
        <w:tc>
          <w:tcPr>
            <w:tcW w:type="dxa" w:w="1020"/>
            <w:shd w:val="clear" w:fill="EAF4EF"/>
          </w:tcPr>
          <w:p>
            <w:pPr>
              <w:spacing w:after="20" w:before="20"/>
            </w:pPr>
            <w:r/>
            <w:r>
              <w:rPr>
                <w:b w:val="0"/>
                <w:sz w:val="13"/>
              </w:rPr>
              <w:t>200,000</w:t>
            </w:r>
          </w:p>
        </w:tc>
        <w:tc>
          <w:tcPr>
            <w:tcW w:type="dxa" w:w="1247"/>
            <w:shd w:val="clear" w:fill="EAF4EF"/>
          </w:tcPr>
          <w:p>
            <w:pPr>
              <w:spacing w:after="20" w:before="20"/>
            </w:pPr>
            <w:r/>
            <w:r>
              <w:rPr>
                <w:b w:val="0"/>
                <w:sz w:val="13"/>
              </w:rPr>
              <w:t>Modelled</w:t>
            </w:r>
          </w:p>
        </w:tc>
        <w:tc>
          <w:tcPr>
            <w:tcW w:type="dxa" w:w="2721"/>
            <w:shd w:val="clear" w:fill="EAF4EF"/>
          </w:tcPr>
          <w:p>
            <w:pPr>
              <w:spacing w:after="20" w:before="20"/>
            </w:pPr>
            <w:r/>
            <w:r>
              <w:rPr>
                <w:b w:val="0"/>
                <w:sz w:val="13"/>
              </w:rPr>
              <w:t>OA fees, archives, documentation</w:t>
            </w:r>
          </w:p>
        </w:tc>
      </w:tr>
      <w:tr>
        <w:trPr>
          <w:cantSplit/>
        </w:trPr>
        <w:tc>
          <w:tcPr>
            <w:tcW w:type="dxa" w:w="2608"/>
          </w:tcPr>
          <w:p>
            <w:pPr>
              <w:spacing w:after="20" w:before="20"/>
            </w:pPr>
            <w:r/>
            <w:r>
              <w:rPr>
                <w:b w:val="0"/>
                <w:sz w:val="13"/>
              </w:rPr>
              <w:t>Equipment, licences &amp; consumables</w:t>
            </w:r>
          </w:p>
        </w:tc>
        <w:tc>
          <w:tcPr>
            <w:tcW w:type="dxa" w:w="1020"/>
          </w:tcPr>
          <w:p>
            <w:pPr>
              <w:spacing w:after="20" w:before="20"/>
            </w:pPr>
            <w:r/>
            <w:r>
              <w:rPr>
                <w:b w:val="0"/>
                <w:sz w:val="13"/>
              </w:rPr>
              <w:t>12,000</w:t>
            </w:r>
          </w:p>
        </w:tc>
        <w:tc>
          <w:tcPr>
            <w:tcW w:type="dxa" w:w="1020"/>
          </w:tcPr>
          <w:p>
            <w:pPr>
              <w:spacing w:after="20" w:before="20"/>
            </w:pPr>
            <w:r/>
            <w:r>
              <w:rPr>
                <w:b w:val="0"/>
                <w:sz w:val="13"/>
              </w:rPr>
              <w:t>55,000</w:t>
            </w:r>
          </w:p>
        </w:tc>
        <w:tc>
          <w:tcPr>
            <w:tcW w:type="dxa" w:w="1020"/>
          </w:tcPr>
          <w:p>
            <w:pPr>
              <w:spacing w:after="20" w:before="20"/>
            </w:pPr>
            <w:r/>
            <w:r>
              <w:rPr>
                <w:b w:val="0"/>
                <w:sz w:val="13"/>
              </w:rPr>
              <w:t>160,000</w:t>
            </w:r>
          </w:p>
        </w:tc>
        <w:tc>
          <w:tcPr>
            <w:tcW w:type="dxa" w:w="1247"/>
          </w:tcPr>
          <w:p>
            <w:pPr>
              <w:spacing w:after="20" w:before="20"/>
            </w:pPr>
            <w:r/>
            <w:r>
              <w:rPr>
                <w:b w:val="0"/>
                <w:sz w:val="13"/>
              </w:rPr>
              <w:t>Modelled</w:t>
            </w:r>
          </w:p>
        </w:tc>
        <w:tc>
          <w:tcPr>
            <w:tcW w:type="dxa" w:w="2721"/>
          </w:tcPr>
          <w:p>
            <w:pPr>
              <w:spacing w:after="20" w:before="20"/>
            </w:pPr>
            <w:r/>
            <w:r>
              <w:rPr>
                <w:b w:val="0"/>
                <w:sz w:val="13"/>
              </w:rPr>
              <w:t>Scoring kit, secure storage, software</w:t>
            </w:r>
          </w:p>
        </w:tc>
      </w:tr>
      <w:tr>
        <w:trPr>
          <w:cantSplit/>
        </w:trPr>
        <w:tc>
          <w:tcPr>
            <w:tcW w:type="dxa" w:w="2608"/>
            <w:shd w:val="clear" w:fill="EAF4EF"/>
          </w:tcPr>
          <w:p>
            <w:pPr>
              <w:spacing w:after="20" w:before="20"/>
            </w:pPr>
            <w:r/>
            <w:r>
              <w:rPr>
                <w:b w:val="0"/>
                <w:sz w:val="13"/>
              </w:rPr>
              <w:t>Training school &amp; community programmes</w:t>
            </w:r>
          </w:p>
        </w:tc>
        <w:tc>
          <w:tcPr>
            <w:tcW w:type="dxa" w:w="1020"/>
            <w:shd w:val="clear" w:fill="EAF4EF"/>
          </w:tcPr>
          <w:p>
            <w:pPr>
              <w:spacing w:after="20" w:before="20"/>
            </w:pPr>
            <w:r/>
            <w:r>
              <w:rPr>
                <w:b w:val="0"/>
                <w:sz w:val="13"/>
              </w:rPr>
              <w:t>0</w:t>
            </w:r>
          </w:p>
        </w:tc>
        <w:tc>
          <w:tcPr>
            <w:tcW w:type="dxa" w:w="1020"/>
            <w:shd w:val="clear" w:fill="EAF4EF"/>
          </w:tcPr>
          <w:p>
            <w:pPr>
              <w:spacing w:after="20" w:before="20"/>
            </w:pPr>
            <w:r/>
            <w:r>
              <w:rPr>
                <w:b w:val="0"/>
                <w:sz w:val="13"/>
              </w:rPr>
              <w:t>70,000</w:t>
            </w:r>
          </w:p>
        </w:tc>
        <w:tc>
          <w:tcPr>
            <w:tcW w:type="dxa" w:w="1020"/>
            <w:shd w:val="clear" w:fill="EAF4EF"/>
          </w:tcPr>
          <w:p>
            <w:pPr>
              <w:spacing w:after="20" w:before="20"/>
            </w:pPr>
            <w:r/>
            <w:r>
              <w:rPr>
                <w:b w:val="0"/>
                <w:sz w:val="13"/>
              </w:rPr>
              <w:t>180,000</w:t>
            </w:r>
          </w:p>
        </w:tc>
        <w:tc>
          <w:tcPr>
            <w:tcW w:type="dxa" w:w="1247"/>
            <w:shd w:val="clear" w:fill="EAF4EF"/>
          </w:tcPr>
          <w:p>
            <w:pPr>
              <w:spacing w:after="20" w:before="20"/>
            </w:pPr>
            <w:r/>
            <w:r>
              <w:rPr>
                <w:b w:val="0"/>
                <w:sz w:val="13"/>
              </w:rPr>
              <w:t>Modelled</w:t>
            </w:r>
          </w:p>
        </w:tc>
        <w:tc>
          <w:tcPr>
            <w:tcW w:type="dxa" w:w="2721"/>
            <w:shd w:val="clear" w:fill="EAF4EF"/>
          </w:tcPr>
          <w:p>
            <w:pPr>
              <w:spacing w:after="20" w:before="20"/>
            </w:pPr>
            <w:r/>
            <w:r>
              <w:rPr>
                <w:b w:val="0"/>
                <w:sz w:val="13"/>
              </w:rPr>
              <w:t>Two editions; auditor pipeline</w:t>
            </w:r>
          </w:p>
        </w:tc>
      </w:tr>
      <w:tr>
        <w:trPr>
          <w:cantSplit/>
        </w:trPr>
        <w:tc>
          <w:tcPr>
            <w:tcW w:type="dxa" w:w="2608"/>
          </w:tcPr>
          <w:p>
            <w:pPr>
              <w:spacing w:after="20" w:before="20"/>
            </w:pPr>
            <w:r/>
            <w:r>
              <w:rPr>
                <w:b w:val="0"/>
                <w:sz w:val="13"/>
              </w:rPr>
              <w:t>Contingency (5 / 10 / 12 %)</w:t>
            </w:r>
          </w:p>
        </w:tc>
        <w:tc>
          <w:tcPr>
            <w:tcW w:type="dxa" w:w="1020"/>
          </w:tcPr>
          <w:p>
            <w:pPr>
              <w:spacing w:after="20" w:before="20"/>
            </w:pPr>
            <w:r/>
            <w:r>
              <w:rPr>
                <w:b w:val="0"/>
                <w:sz w:val="13"/>
              </w:rPr>
              <w:t>47,500</w:t>
            </w:r>
          </w:p>
        </w:tc>
        <w:tc>
          <w:tcPr>
            <w:tcW w:type="dxa" w:w="1020"/>
          </w:tcPr>
          <w:p>
            <w:pPr>
              <w:spacing w:after="20" w:before="20"/>
            </w:pPr>
            <w:r/>
            <w:r>
              <w:rPr>
                <w:b w:val="0"/>
                <w:sz w:val="13"/>
              </w:rPr>
              <w:t>320,000</w:t>
            </w:r>
          </w:p>
        </w:tc>
        <w:tc>
          <w:tcPr>
            <w:tcW w:type="dxa" w:w="1020"/>
          </w:tcPr>
          <w:p>
            <w:pPr>
              <w:spacing w:after="20" w:before="20"/>
            </w:pPr>
            <w:r/>
            <w:r>
              <w:rPr>
                <w:b w:val="0"/>
                <w:sz w:val="13"/>
              </w:rPr>
              <w:t>1,030,000</w:t>
            </w:r>
          </w:p>
        </w:tc>
        <w:tc>
          <w:tcPr>
            <w:tcW w:type="dxa" w:w="1247"/>
          </w:tcPr>
          <w:p>
            <w:pPr>
              <w:spacing w:after="20" w:before="20"/>
            </w:pPr>
            <w:r/>
            <w:r>
              <w:rPr>
                <w:b w:val="0"/>
                <w:sz w:val="13"/>
              </w:rPr>
              <w:t>Derived</w:t>
            </w:r>
          </w:p>
        </w:tc>
        <w:tc>
          <w:tcPr>
            <w:tcW w:type="dxa" w:w="2721"/>
          </w:tcPr>
          <w:p>
            <w:pPr>
              <w:spacing w:after="20" w:before="20"/>
            </w:pPr>
            <w:r/>
            <w:r>
              <w:rPr>
                <w:b w:val="0"/>
                <w:sz w:val="13"/>
              </w:rPr>
              <w:t>Applied to the scenario total</w:t>
            </w:r>
          </w:p>
        </w:tc>
      </w:tr>
      <w:tr>
        <w:trPr>
          <w:cantSplit/>
        </w:trPr>
        <w:tc>
          <w:tcPr>
            <w:tcW w:type="dxa" w:w="2608"/>
            <w:shd w:val="clear" w:fill="EAF4EF"/>
          </w:tcPr>
          <w:p>
            <w:pPr>
              <w:spacing w:after="20" w:before="20"/>
            </w:pPr>
            <w:r/>
            <w:r>
              <w:rPr>
                <w:b/>
                <w:sz w:val="13"/>
              </w:rPr>
              <w:t>Total</w:t>
            </w:r>
          </w:p>
        </w:tc>
        <w:tc>
          <w:tcPr>
            <w:tcW w:type="dxa" w:w="1020"/>
            <w:shd w:val="clear" w:fill="EAF4EF"/>
          </w:tcPr>
          <w:p>
            <w:pPr>
              <w:spacing w:after="20" w:before="20"/>
            </w:pPr>
            <w:r/>
            <w:r>
              <w:rPr>
                <w:b/>
                <w:sz w:val="13"/>
              </w:rPr>
              <w:t>1,079,500</w:t>
            </w:r>
          </w:p>
        </w:tc>
        <w:tc>
          <w:tcPr>
            <w:tcW w:type="dxa" w:w="1020"/>
            <w:shd w:val="clear" w:fill="EAF4EF"/>
          </w:tcPr>
          <w:p>
            <w:pPr>
              <w:spacing w:after="20" w:before="20"/>
            </w:pPr>
            <w:r/>
            <w:r>
              <w:rPr>
                <w:b/>
                <w:sz w:val="13"/>
              </w:rPr>
              <w:t>3,960,000</w:t>
            </w:r>
          </w:p>
        </w:tc>
        <w:tc>
          <w:tcPr>
            <w:tcW w:type="dxa" w:w="1020"/>
            <w:shd w:val="clear" w:fill="EAF4EF"/>
          </w:tcPr>
          <w:p>
            <w:pPr>
              <w:spacing w:after="20" w:before="20"/>
            </w:pPr>
            <w:r/>
            <w:r>
              <w:rPr>
                <w:b/>
                <w:sz w:val="13"/>
              </w:rPr>
              <w:t>9,360,000</w:t>
            </w:r>
          </w:p>
        </w:tc>
        <w:tc>
          <w:tcPr>
            <w:tcW w:type="dxa" w:w="1247"/>
            <w:shd w:val="clear" w:fill="EAF4EF"/>
          </w:tcPr>
          <w:p>
            <w:pPr>
              <w:spacing w:after="20" w:before="20"/>
            </w:pPr>
            <w:r/>
            <w:r>
              <w:rPr>
                <w:b/>
                <w:sz w:val="13"/>
              </w:rPr>
              <w:t>No line quoted</w:t>
            </w:r>
          </w:p>
        </w:tc>
        <w:tc>
          <w:tcPr>
            <w:tcW w:type="dxa" w:w="2721"/>
            <w:shd w:val="clear" w:fill="EAF4EF"/>
          </w:tcPr>
          <w:p>
            <w:pPr>
              <w:spacing w:after="20" w:before="20"/>
            </w:pPr>
            <w:r/>
            <w:r>
              <w:rPr>
                <w:b/>
                <w:sz w:val="13"/>
              </w:rPr>
              <w:t>Sum of the lines above; contingency included as a line</w:t>
            </w:r>
          </w:p>
        </w:tc>
      </w:tr>
    </w:tbl>
    <w:p>
      <w:pPr>
        <w:spacing w:after="100"/>
      </w:pPr>
      <w:r>
        <w:rPr>
          <w:b w:val="0"/>
          <w:i/>
          <w:sz w:val="16"/>
        </w:rPr>
        <w:t>Status is as defined in 1.2 and applied line by line in 6.2. Section 6.8 gives the same table's personnel block on the bought column instead of the contributed one.</w:t>
      </w:r>
    </w:p>
    <w:p>
      <w:pPr>
        <w:spacing w:after="100"/>
      </w:pPr>
      <w:r>
        <w:rPr>
          <w:b w:val="0"/>
          <w:i/>
          <w:sz w:val="16"/>
        </w:rPr>
        <w:t>One label in this table does not reproduce and the plan should say so rather than let a reviewer find it. The contingency line is labelled ‘5 / 10 / 12 %’ in the shared cost model, and the amounts it carries are 4.6 per cent, 8.8 per cent, 12.4 per cent of the lines above them. The Core line is the one that matters: it is €320,000 where ten per cent of the lines beneath it would be €364,000. The shared model's basis note reads ‘applied to the scenario total’, which is the other of the two possible bases; on that one the three lines are 4.4 per cent, 8.1 per cent, 11.0 per cent, so the label does not reproduce on either reading. The label is a rounded description of a number carried since v1.0, not a percentage applied to produce it, and this edition corrects the description rather than the number, because moving the number moves every published total in the set. Raising Core to a true ten per cent would take the scenario to €4,004,000, and that is the honest reading of what a ten-per-cent contingency on this programme costs.</w:t>
      </w:r>
    </w:p>
    <w:p>
      <w:pPr>
        <w:pStyle w:val="Heading1"/>
      </w:pPr>
      <w:r>
        <w:t>Annex B. Staffing plans (Lean and Full)</w:t>
      </w:r>
    </w:p>
    <w:p>
      <w:pPr>
        <w:spacing w:before="0" w:after="140" w:line="40" w:lineRule="exact"/>
        <w:pBdr>
          <w:bottom w:val="single" w:sz="16" w:space="0" w:color="E8A13D"/>
        </w:pBdr>
      </w:pPr>
      <w:r>
        <w:rPr>
          <w:sz w:val="2"/>
        </w:rPr>
      </w:r>
    </w:p>
    <w:p>
      <w:pPr>
        <w:pStyle w:val="Heading3"/>
      </w:pPr>
      <w:r>
        <w:t>Lean scenario (3 years)</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3061"/>
            <w:shd w:val="clear" w:fill="0F2622"/>
          </w:tcPr>
          <w:p>
            <w:pPr>
              <w:spacing w:after="20" w:before="20"/>
            </w:pPr>
            <w:r/>
            <w:r>
              <w:rPr>
                <w:b/>
                <w:color w:val="FFFFFF"/>
                <w:sz w:val="14"/>
              </w:rPr>
              <w:t>Role</w:t>
            </w:r>
          </w:p>
        </w:tc>
        <w:tc>
          <w:tcPr>
            <w:tcW w:type="dxa" w:w="850"/>
            <w:shd w:val="clear" w:fill="0F2622"/>
          </w:tcPr>
          <w:p>
            <w:pPr>
              <w:spacing w:after="20" w:before="20"/>
            </w:pPr>
            <w:r/>
            <w:r>
              <w:rPr>
                <w:b/>
                <w:color w:val="FFFFFF"/>
                <w:sz w:val="14"/>
              </w:rPr>
              <w:t>Y1</w:t>
            </w:r>
          </w:p>
        </w:tc>
        <w:tc>
          <w:tcPr>
            <w:tcW w:type="dxa" w:w="850"/>
            <w:shd w:val="clear" w:fill="0F2622"/>
          </w:tcPr>
          <w:p>
            <w:pPr>
              <w:spacing w:after="20" w:before="20"/>
            </w:pPr>
            <w:r/>
            <w:r>
              <w:rPr>
                <w:b/>
                <w:color w:val="FFFFFF"/>
                <w:sz w:val="14"/>
              </w:rPr>
              <w:t>Y2</w:t>
            </w:r>
          </w:p>
        </w:tc>
        <w:tc>
          <w:tcPr>
            <w:tcW w:type="dxa" w:w="850"/>
            <w:shd w:val="clear" w:fill="0F2622"/>
          </w:tcPr>
          <w:p>
            <w:pPr>
              <w:spacing w:after="20" w:before="20"/>
            </w:pPr>
            <w:r/>
            <w:r>
              <w:rPr>
                <w:b/>
                <w:color w:val="FFFFFF"/>
                <w:sz w:val="14"/>
              </w:rPr>
              <w:t>Y3</w:t>
            </w:r>
          </w:p>
        </w:tc>
        <w:tc>
          <w:tcPr>
            <w:tcW w:type="dxa" w:w="850"/>
            <w:shd w:val="clear" w:fill="0F2622"/>
          </w:tcPr>
          <w:p>
            <w:pPr>
              <w:spacing w:after="20" w:before="20"/>
            </w:pPr>
            <w:r/>
            <w:r>
              <w:rPr>
                <w:b/>
                <w:color w:val="FFFFFF"/>
                <w:sz w:val="14"/>
              </w:rPr>
              <w:t>Total</w:t>
            </w:r>
          </w:p>
        </w:tc>
      </w:tr>
      <w:tr>
        <w:trPr>
          <w:cantSplit/>
        </w:trPr>
        <w:tc>
          <w:tcPr>
            <w:tcW w:type="dxa" w:w="3061"/>
          </w:tcPr>
          <w:p>
            <w:pPr>
              <w:spacing w:after="20" w:before="20"/>
            </w:pPr>
            <w:r/>
            <w:r>
              <w:rPr>
                <w:b w:val="0"/>
                <w:sz w:val="14"/>
              </w:rPr>
              <w:t>Principal investigator (0.25)</w:t>
            </w:r>
          </w:p>
        </w:tc>
        <w:tc>
          <w:tcPr>
            <w:tcW w:type="dxa" w:w="850"/>
          </w:tcPr>
          <w:p>
            <w:pPr>
              <w:spacing w:after="20" w:before="20"/>
            </w:pPr>
            <w:r/>
            <w:r>
              <w:rPr>
                <w:b w:val="0"/>
                <w:sz w:val="14"/>
              </w:rPr>
              <w:t>0.25</w:t>
            </w:r>
          </w:p>
        </w:tc>
        <w:tc>
          <w:tcPr>
            <w:tcW w:type="dxa" w:w="850"/>
          </w:tcPr>
          <w:p>
            <w:pPr>
              <w:spacing w:after="20" w:before="20"/>
            </w:pPr>
            <w:r/>
            <w:r>
              <w:rPr>
                <w:b w:val="0"/>
                <w:sz w:val="14"/>
              </w:rPr>
              <w:t>0.25</w:t>
            </w:r>
          </w:p>
        </w:tc>
        <w:tc>
          <w:tcPr>
            <w:tcW w:type="dxa" w:w="850"/>
          </w:tcPr>
          <w:p>
            <w:pPr>
              <w:spacing w:after="20" w:before="20"/>
            </w:pPr>
            <w:r/>
            <w:r>
              <w:rPr>
                <w:b w:val="0"/>
                <w:sz w:val="14"/>
              </w:rPr>
              <w:t>0.25</w:t>
            </w:r>
          </w:p>
        </w:tc>
        <w:tc>
          <w:tcPr>
            <w:tcW w:type="dxa" w:w="850"/>
          </w:tcPr>
          <w:p>
            <w:pPr>
              <w:spacing w:after="20" w:before="20"/>
            </w:pPr>
            <w:r/>
            <w:r>
              <w:rPr>
                <w:b w:val="0"/>
                <w:sz w:val="14"/>
              </w:rPr>
              <w:t>0.75</w:t>
            </w:r>
          </w:p>
        </w:tc>
      </w:tr>
      <w:tr>
        <w:trPr>
          <w:cantSplit/>
        </w:trPr>
        <w:tc>
          <w:tcPr>
            <w:tcW w:type="dxa" w:w="3061"/>
            <w:shd w:val="clear" w:fill="EAF4EF"/>
          </w:tcPr>
          <w:p>
            <w:pPr>
              <w:spacing w:after="20" w:before="20"/>
            </w:pPr>
            <w:r/>
            <w:r>
              <w:rPr>
                <w:b w:val="0"/>
                <w:sz w:val="14"/>
              </w:rPr>
              <w:t>Postdoctoral researcher (1)</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3.0</w:t>
            </w:r>
          </w:p>
        </w:tc>
      </w:tr>
      <w:tr>
        <w:trPr>
          <w:cantSplit/>
        </w:trPr>
        <w:tc>
          <w:tcPr>
            <w:tcW w:type="dxa" w:w="3061"/>
          </w:tcPr>
          <w:p>
            <w:pPr>
              <w:spacing w:after="20" w:before="20"/>
            </w:pPr>
            <w:r/>
            <w:r>
              <w:rPr>
                <w:b w:val="0"/>
                <w:sz w:val="14"/>
              </w:rPr>
              <w:t>Doctoral researcher (1)</w:t>
            </w:r>
          </w:p>
        </w:tc>
        <w:tc>
          <w:tcPr>
            <w:tcW w:type="dxa" w:w="850"/>
          </w:tcPr>
          <w:p>
            <w:pPr>
              <w:spacing w:after="20" w:before="20"/>
            </w:pPr>
            <w:r/>
            <w:r>
              <w:rPr>
                <w:b w:val="0"/>
                <w:sz w:val="14"/>
              </w:rPr>
              <w:t>1.0</w:t>
            </w:r>
          </w:p>
        </w:tc>
        <w:tc>
          <w:tcPr>
            <w:tcW w:type="dxa" w:w="850"/>
          </w:tcPr>
          <w:p>
            <w:pPr>
              <w:spacing w:after="20" w:before="20"/>
            </w:pPr>
            <w:r/>
            <w:r>
              <w:rPr>
                <w:b w:val="0"/>
                <w:sz w:val="14"/>
              </w:rPr>
              <w:t>1.0</w:t>
            </w:r>
          </w:p>
        </w:tc>
        <w:tc>
          <w:tcPr>
            <w:tcW w:type="dxa" w:w="850"/>
          </w:tcPr>
          <w:p>
            <w:pPr>
              <w:spacing w:after="20" w:before="20"/>
            </w:pPr>
            <w:r/>
            <w:r>
              <w:rPr>
                <w:b w:val="0"/>
                <w:sz w:val="14"/>
              </w:rPr>
              <w:t>1.0</w:t>
            </w:r>
          </w:p>
        </w:tc>
        <w:tc>
          <w:tcPr>
            <w:tcW w:type="dxa" w:w="850"/>
          </w:tcPr>
          <w:p>
            <w:pPr>
              <w:spacing w:after="20" w:before="20"/>
            </w:pPr>
            <w:r/>
            <w:r>
              <w:rPr>
                <w:b w:val="0"/>
                <w:sz w:val="14"/>
              </w:rPr>
              <w:t>3.0</w:t>
            </w:r>
          </w:p>
        </w:tc>
      </w:tr>
      <w:tr>
        <w:trPr>
          <w:cantSplit/>
        </w:trPr>
        <w:tc>
          <w:tcPr>
            <w:tcW w:type="dxa" w:w="3061"/>
            <w:shd w:val="clear" w:fill="EAF4EF"/>
          </w:tcPr>
          <w:p>
            <w:pPr>
              <w:spacing w:after="20" w:before="20"/>
            </w:pPr>
            <w:r/>
            <w:r>
              <w:rPr>
                <w:b w:val="0"/>
                <w:sz w:val="14"/>
              </w:rPr>
              <w:t>Research engineer (0.5)</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1.5</w:t>
            </w:r>
          </w:p>
        </w:tc>
      </w:tr>
      <w:tr>
        <w:trPr>
          <w:cantSplit/>
        </w:trPr>
        <w:tc>
          <w:tcPr>
            <w:tcW w:type="dxa" w:w="3061"/>
          </w:tcPr>
          <w:p>
            <w:pPr>
              <w:spacing w:after="20" w:before="20"/>
            </w:pPr>
            <w:r/>
            <w:r>
              <w:rPr>
                <w:b w:val="0"/>
                <w:sz w:val="14"/>
              </w:rPr>
              <w:t>Statistician (0.2)</w:t>
            </w:r>
          </w:p>
        </w:tc>
        <w:tc>
          <w:tcPr>
            <w:tcW w:type="dxa" w:w="850"/>
          </w:tcPr>
          <w:p>
            <w:pPr>
              <w:spacing w:after="20" w:before="20"/>
            </w:pPr>
            <w:r/>
            <w:r>
              <w:rPr>
                <w:b w:val="0"/>
                <w:sz w:val="14"/>
              </w:rPr>
              <w:t>0.2</w:t>
            </w:r>
          </w:p>
        </w:tc>
        <w:tc>
          <w:tcPr>
            <w:tcW w:type="dxa" w:w="850"/>
          </w:tcPr>
          <w:p>
            <w:pPr>
              <w:spacing w:after="20" w:before="20"/>
            </w:pPr>
            <w:r/>
            <w:r>
              <w:rPr>
                <w:b w:val="0"/>
                <w:sz w:val="14"/>
              </w:rPr>
              <w:t>0.2</w:t>
            </w:r>
          </w:p>
        </w:tc>
        <w:tc>
          <w:tcPr>
            <w:tcW w:type="dxa" w:w="850"/>
          </w:tcPr>
          <w:p>
            <w:pPr>
              <w:spacing w:after="20" w:before="20"/>
            </w:pPr>
            <w:r/>
            <w:r>
              <w:rPr>
                <w:b w:val="0"/>
                <w:sz w:val="14"/>
              </w:rPr>
              <w:t>0.2</w:t>
            </w:r>
          </w:p>
        </w:tc>
        <w:tc>
          <w:tcPr>
            <w:tcW w:type="dxa" w:w="850"/>
          </w:tcPr>
          <w:p>
            <w:pPr>
              <w:spacing w:after="20" w:before="20"/>
            </w:pPr>
            <w:r/>
            <w:r>
              <w:rPr>
                <w:b w:val="0"/>
                <w:sz w:val="14"/>
              </w:rPr>
              <w:t>0.6</w:t>
            </w:r>
          </w:p>
        </w:tc>
      </w:tr>
      <w:tr>
        <w:trPr>
          <w:cantSplit/>
        </w:trPr>
        <w:tc>
          <w:tcPr>
            <w:tcW w:type="dxa" w:w="3061"/>
            <w:shd w:val="clear" w:fill="EAF4EF"/>
          </w:tcPr>
          <w:p>
            <w:pPr>
              <w:spacing w:after="20" w:before="20"/>
            </w:pPr>
            <w:r/>
            <w:r>
              <w:rPr>
                <w:b w:val="0"/>
                <w:sz w:val="14"/>
              </w:rPr>
              <w:t>Ops/legal (0.3)</w:t>
            </w:r>
          </w:p>
        </w:tc>
        <w:tc>
          <w:tcPr>
            <w:tcW w:type="dxa" w:w="850"/>
            <w:shd w:val="clear" w:fill="EAF4EF"/>
          </w:tcPr>
          <w:p>
            <w:pPr>
              <w:spacing w:after="20" w:before="20"/>
            </w:pPr>
            <w:r/>
            <w:r>
              <w:rPr>
                <w:b w:val="0"/>
                <w:sz w:val="14"/>
              </w:rPr>
              <w:t>0.3</w:t>
            </w:r>
          </w:p>
        </w:tc>
        <w:tc>
          <w:tcPr>
            <w:tcW w:type="dxa" w:w="850"/>
            <w:shd w:val="clear" w:fill="EAF4EF"/>
          </w:tcPr>
          <w:p>
            <w:pPr>
              <w:spacing w:after="20" w:before="20"/>
            </w:pPr>
            <w:r/>
            <w:r>
              <w:rPr>
                <w:b w:val="0"/>
                <w:sz w:val="14"/>
              </w:rPr>
              <w:t>0.3</w:t>
            </w:r>
          </w:p>
        </w:tc>
        <w:tc>
          <w:tcPr>
            <w:tcW w:type="dxa" w:w="850"/>
            <w:shd w:val="clear" w:fill="EAF4EF"/>
          </w:tcPr>
          <w:p>
            <w:pPr>
              <w:spacing w:after="20" w:before="20"/>
            </w:pPr>
            <w:r/>
            <w:r>
              <w:rPr>
                <w:b w:val="0"/>
                <w:sz w:val="14"/>
              </w:rPr>
              <w:t>0.3</w:t>
            </w:r>
          </w:p>
        </w:tc>
        <w:tc>
          <w:tcPr>
            <w:tcW w:type="dxa" w:w="850"/>
            <w:shd w:val="clear" w:fill="EAF4EF"/>
          </w:tcPr>
          <w:p>
            <w:pPr>
              <w:spacing w:after="20" w:before="20"/>
            </w:pPr>
            <w:r/>
            <w:r>
              <w:rPr>
                <w:b w:val="0"/>
                <w:sz w:val="14"/>
              </w:rPr>
              <w:t>0.9</w:t>
            </w:r>
          </w:p>
        </w:tc>
      </w:tr>
      <w:tr>
        <w:trPr>
          <w:cantSplit/>
        </w:trPr>
        <w:tc>
          <w:tcPr>
            <w:tcW w:type="dxa" w:w="3061"/>
          </w:tcPr>
          <w:p>
            <w:pPr>
              <w:spacing w:after="20" w:before="20"/>
            </w:pPr>
            <w:r/>
            <w:r>
              <w:rPr>
                <w:b/>
                <w:sz w:val="14"/>
              </w:rPr>
              <w:t>Total FTE by year</w:t>
            </w:r>
          </w:p>
        </w:tc>
        <w:tc>
          <w:tcPr>
            <w:tcW w:type="dxa" w:w="850"/>
          </w:tcPr>
          <w:p>
            <w:pPr>
              <w:spacing w:after="20" w:before="20"/>
            </w:pPr>
            <w:r/>
            <w:r>
              <w:rPr>
                <w:b/>
                <w:sz w:val="14"/>
              </w:rPr>
              <w:t>3.25</w:t>
            </w:r>
          </w:p>
        </w:tc>
        <w:tc>
          <w:tcPr>
            <w:tcW w:type="dxa" w:w="850"/>
          </w:tcPr>
          <w:p>
            <w:pPr>
              <w:spacing w:after="20" w:before="20"/>
            </w:pPr>
            <w:r/>
            <w:r>
              <w:rPr>
                <w:b/>
                <w:sz w:val="14"/>
              </w:rPr>
              <w:t>3.25</w:t>
            </w:r>
          </w:p>
        </w:tc>
        <w:tc>
          <w:tcPr>
            <w:tcW w:type="dxa" w:w="850"/>
          </w:tcPr>
          <w:p>
            <w:pPr>
              <w:spacing w:after="20" w:before="20"/>
            </w:pPr>
            <w:r/>
            <w:r>
              <w:rPr>
                <w:b/>
                <w:sz w:val="14"/>
              </w:rPr>
              <w:t>3.25</w:t>
            </w:r>
          </w:p>
        </w:tc>
        <w:tc>
          <w:tcPr>
            <w:tcW w:type="dxa" w:w="850"/>
          </w:tcPr>
          <w:p>
            <w:pPr>
              <w:spacing w:after="20" w:before="20"/>
            </w:pPr>
            <w:r/>
            <w:r>
              <w:rPr>
                <w:b/>
                <w:sz w:val="14"/>
              </w:rPr>
              <w:t>9.75 FTE-years</w:t>
            </w:r>
          </w:p>
        </w:tc>
      </w:tr>
    </w:tbl>
    <w:p>
      <w:pPr>
        <w:pStyle w:val="Heading3"/>
      </w:pPr>
      <w:r>
        <w:t>Full scenario (5 years)</w:t>
      </w:r>
    </w:p>
    <w:tbl>
      <w:tblPr>
        <w:tblStyle w:val="TableGrid"/>
        <w:tblW w:type="auto" w:w="0"/>
        <w:jc w:val="center"/>
        <w:tblLook w:firstColumn="1" w:firstRow="1" w:lastColumn="0" w:lastRow="0" w:noHBand="0" w:noVBand="1" w:val="04A0"/>
      </w:tblPr>
      <w:tblGrid>
        <w:gridCol w:w="1377"/>
        <w:gridCol w:w="1377"/>
        <w:gridCol w:w="1377"/>
        <w:gridCol w:w="1377"/>
        <w:gridCol w:w="1377"/>
        <w:gridCol w:w="1377"/>
        <w:gridCol w:w="1377"/>
      </w:tblGrid>
      <w:tr>
        <w:trPr>
          <w:tblHeader/>
          <w:cantSplit/>
        </w:trPr>
        <w:tc>
          <w:tcPr>
            <w:tcW w:type="dxa" w:w="3061"/>
            <w:shd w:val="clear" w:fill="0F2622"/>
          </w:tcPr>
          <w:p>
            <w:pPr>
              <w:spacing w:after="20" w:before="20"/>
            </w:pPr>
            <w:r/>
            <w:r>
              <w:rPr>
                <w:b/>
                <w:color w:val="FFFFFF"/>
                <w:sz w:val="14"/>
              </w:rPr>
              <w:t>Role</w:t>
            </w:r>
          </w:p>
        </w:tc>
        <w:tc>
          <w:tcPr>
            <w:tcW w:type="dxa" w:w="850"/>
            <w:shd w:val="clear" w:fill="0F2622"/>
          </w:tcPr>
          <w:p>
            <w:pPr>
              <w:spacing w:after="20" w:before="20"/>
            </w:pPr>
            <w:r/>
            <w:r>
              <w:rPr>
                <w:b/>
                <w:color w:val="FFFFFF"/>
                <w:sz w:val="14"/>
              </w:rPr>
              <w:t>Y1</w:t>
            </w:r>
          </w:p>
        </w:tc>
        <w:tc>
          <w:tcPr>
            <w:tcW w:type="dxa" w:w="850"/>
            <w:shd w:val="clear" w:fill="0F2622"/>
          </w:tcPr>
          <w:p>
            <w:pPr>
              <w:spacing w:after="20" w:before="20"/>
            </w:pPr>
            <w:r/>
            <w:r>
              <w:rPr>
                <w:b/>
                <w:color w:val="FFFFFF"/>
                <w:sz w:val="14"/>
              </w:rPr>
              <w:t>Y2</w:t>
            </w:r>
          </w:p>
        </w:tc>
        <w:tc>
          <w:tcPr>
            <w:tcW w:type="dxa" w:w="850"/>
            <w:shd w:val="clear" w:fill="0F2622"/>
          </w:tcPr>
          <w:p>
            <w:pPr>
              <w:spacing w:after="20" w:before="20"/>
            </w:pPr>
            <w:r/>
            <w:r>
              <w:rPr>
                <w:b/>
                <w:color w:val="FFFFFF"/>
                <w:sz w:val="14"/>
              </w:rPr>
              <w:t>Y3</w:t>
            </w:r>
          </w:p>
        </w:tc>
        <w:tc>
          <w:tcPr>
            <w:tcW w:type="dxa" w:w="850"/>
            <w:shd w:val="clear" w:fill="0F2622"/>
          </w:tcPr>
          <w:p>
            <w:pPr>
              <w:spacing w:after="20" w:before="20"/>
            </w:pPr>
            <w:r/>
            <w:r>
              <w:rPr>
                <w:b/>
                <w:color w:val="FFFFFF"/>
                <w:sz w:val="14"/>
              </w:rPr>
              <w:t>Y4</w:t>
            </w:r>
          </w:p>
        </w:tc>
        <w:tc>
          <w:tcPr>
            <w:tcW w:type="dxa" w:w="850"/>
            <w:shd w:val="clear" w:fill="0F2622"/>
          </w:tcPr>
          <w:p>
            <w:pPr>
              <w:spacing w:after="20" w:before="20"/>
            </w:pPr>
            <w:r/>
            <w:r>
              <w:rPr>
                <w:b/>
                <w:color w:val="FFFFFF"/>
                <w:sz w:val="14"/>
              </w:rPr>
              <w:t>Y5</w:t>
            </w:r>
          </w:p>
        </w:tc>
        <w:tc>
          <w:tcPr>
            <w:tcW w:type="dxa" w:w="850"/>
            <w:shd w:val="clear" w:fill="0F2622"/>
          </w:tcPr>
          <w:p>
            <w:pPr>
              <w:spacing w:after="20" w:before="20"/>
            </w:pPr>
            <w:r/>
            <w:r>
              <w:rPr>
                <w:b/>
                <w:color w:val="FFFFFF"/>
                <w:sz w:val="14"/>
              </w:rPr>
              <w:t>Total</w:t>
            </w:r>
          </w:p>
        </w:tc>
      </w:tr>
      <w:tr>
        <w:trPr>
          <w:cantSplit/>
        </w:trPr>
        <w:tc>
          <w:tcPr>
            <w:tcW w:type="dxa" w:w="3061"/>
          </w:tcPr>
          <w:p>
            <w:pPr>
              <w:spacing w:after="20" w:before="20"/>
            </w:pPr>
            <w:r/>
            <w:r>
              <w:rPr>
                <w:b w:val="0"/>
                <w:sz w:val="14"/>
              </w:rPr>
              <w:t>Principal investigator (1.0)</w:t>
            </w:r>
          </w:p>
        </w:tc>
        <w:tc>
          <w:tcPr>
            <w:tcW w:type="dxa" w:w="850"/>
          </w:tcPr>
          <w:p>
            <w:pPr>
              <w:spacing w:after="20" w:before="20"/>
            </w:pPr>
            <w:r/>
            <w:r>
              <w:rPr>
                <w:b w:val="0"/>
                <w:sz w:val="14"/>
              </w:rPr>
              <w:t>1.0</w:t>
            </w:r>
          </w:p>
        </w:tc>
        <w:tc>
          <w:tcPr>
            <w:tcW w:type="dxa" w:w="850"/>
          </w:tcPr>
          <w:p>
            <w:pPr>
              <w:spacing w:after="20" w:before="20"/>
            </w:pPr>
            <w:r/>
            <w:r>
              <w:rPr>
                <w:b w:val="0"/>
                <w:sz w:val="14"/>
              </w:rPr>
              <w:t>1.0</w:t>
            </w:r>
          </w:p>
        </w:tc>
        <w:tc>
          <w:tcPr>
            <w:tcW w:type="dxa" w:w="850"/>
          </w:tcPr>
          <w:p>
            <w:pPr>
              <w:spacing w:after="20" w:before="20"/>
            </w:pPr>
            <w:r/>
            <w:r>
              <w:rPr>
                <w:b w:val="0"/>
                <w:sz w:val="14"/>
              </w:rPr>
              <w:t>1.0</w:t>
            </w:r>
          </w:p>
        </w:tc>
        <w:tc>
          <w:tcPr>
            <w:tcW w:type="dxa" w:w="850"/>
          </w:tcPr>
          <w:p>
            <w:pPr>
              <w:spacing w:after="20" w:before="20"/>
            </w:pPr>
            <w:r/>
            <w:r>
              <w:rPr>
                <w:b w:val="0"/>
                <w:sz w:val="14"/>
              </w:rPr>
              <w:t>1.0</w:t>
            </w:r>
          </w:p>
        </w:tc>
        <w:tc>
          <w:tcPr>
            <w:tcW w:type="dxa" w:w="850"/>
          </w:tcPr>
          <w:p>
            <w:pPr>
              <w:spacing w:after="20" w:before="20"/>
            </w:pPr>
            <w:r/>
            <w:r>
              <w:rPr>
                <w:b w:val="0"/>
                <w:sz w:val="14"/>
              </w:rPr>
              <w:t>1.0</w:t>
            </w:r>
          </w:p>
        </w:tc>
        <w:tc>
          <w:tcPr>
            <w:tcW w:type="dxa" w:w="850"/>
          </w:tcPr>
          <w:p>
            <w:pPr>
              <w:spacing w:after="20" w:before="20"/>
            </w:pPr>
            <w:r/>
            <w:r>
              <w:rPr>
                <w:b w:val="0"/>
                <w:sz w:val="14"/>
              </w:rPr>
              <w:t>5.0</w:t>
            </w:r>
          </w:p>
        </w:tc>
      </w:tr>
      <w:tr>
        <w:trPr>
          <w:cantSplit/>
        </w:trPr>
        <w:tc>
          <w:tcPr>
            <w:tcW w:type="dxa" w:w="3061"/>
            <w:shd w:val="clear" w:fill="EAF4EF"/>
          </w:tcPr>
          <w:p>
            <w:pPr>
              <w:spacing w:after="20" w:before="20"/>
            </w:pPr>
            <w:r/>
            <w:r>
              <w:rPr>
                <w:b w:val="0"/>
                <w:sz w:val="14"/>
              </w:rPr>
              <w:t>Psychometrician (1.0)</w:t>
            </w:r>
          </w:p>
        </w:tc>
        <w:tc>
          <w:tcPr>
            <w:tcW w:type="dxa" w:w="850"/>
            <w:shd w:val="clear" w:fill="EAF4EF"/>
          </w:tcPr>
          <w:p>
            <w:pPr>
              <w:spacing w:after="20" w:before="20"/>
            </w:pPr>
            <w:r/>
            <w:r>
              <w:rPr>
                <w:b w:val="0"/>
                <w:sz w:val="14"/>
              </w:rPr>
              <w:t>0.6</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4.6</w:t>
            </w:r>
          </w:p>
        </w:tc>
      </w:tr>
      <w:tr>
        <w:trPr>
          <w:cantSplit/>
        </w:trPr>
        <w:tc>
          <w:tcPr>
            <w:tcW w:type="dxa" w:w="3061"/>
          </w:tcPr>
          <w:p>
            <w:pPr>
              <w:spacing w:after="20" w:before="20"/>
            </w:pPr>
            <w:r/>
            <w:r>
              <w:rPr>
                <w:b w:val="0"/>
                <w:sz w:val="14"/>
              </w:rPr>
              <w:t>Postdoctoral researchers (3)</w:t>
            </w:r>
          </w:p>
        </w:tc>
        <w:tc>
          <w:tcPr>
            <w:tcW w:type="dxa" w:w="850"/>
          </w:tcPr>
          <w:p>
            <w:pPr>
              <w:spacing w:after="20" w:before="20"/>
            </w:pPr>
            <w:r/>
            <w:r>
              <w:rPr>
                <w:b w:val="0"/>
                <w:sz w:val="14"/>
              </w:rPr>
              <w:t>2.0</w:t>
            </w:r>
          </w:p>
        </w:tc>
        <w:tc>
          <w:tcPr>
            <w:tcW w:type="dxa" w:w="850"/>
          </w:tcPr>
          <w:p>
            <w:pPr>
              <w:spacing w:after="20" w:before="20"/>
            </w:pPr>
            <w:r/>
            <w:r>
              <w:rPr>
                <w:b w:val="0"/>
                <w:sz w:val="14"/>
              </w:rPr>
              <w:t>3.0</w:t>
            </w:r>
          </w:p>
        </w:tc>
        <w:tc>
          <w:tcPr>
            <w:tcW w:type="dxa" w:w="850"/>
          </w:tcPr>
          <w:p>
            <w:pPr>
              <w:spacing w:after="20" w:before="20"/>
            </w:pPr>
            <w:r/>
            <w:r>
              <w:rPr>
                <w:b w:val="0"/>
                <w:sz w:val="14"/>
              </w:rPr>
              <w:t>3.0</w:t>
            </w:r>
          </w:p>
        </w:tc>
        <w:tc>
          <w:tcPr>
            <w:tcW w:type="dxa" w:w="850"/>
          </w:tcPr>
          <w:p>
            <w:pPr>
              <w:spacing w:after="20" w:before="20"/>
            </w:pPr>
            <w:r/>
            <w:r>
              <w:rPr>
                <w:b w:val="0"/>
                <w:sz w:val="14"/>
              </w:rPr>
              <w:t>2.0</w:t>
            </w:r>
          </w:p>
        </w:tc>
        <w:tc>
          <w:tcPr>
            <w:tcW w:type="dxa" w:w="850"/>
          </w:tcPr>
          <w:p>
            <w:pPr>
              <w:spacing w:after="20" w:before="20"/>
            </w:pPr>
            <w:r/>
            <w:r>
              <w:rPr>
                <w:b w:val="0"/>
                <w:sz w:val="14"/>
              </w:rPr>
              <w:t>1.0</w:t>
            </w:r>
          </w:p>
        </w:tc>
        <w:tc>
          <w:tcPr>
            <w:tcW w:type="dxa" w:w="850"/>
          </w:tcPr>
          <w:p>
            <w:pPr>
              <w:spacing w:after="20" w:before="20"/>
            </w:pPr>
            <w:r/>
            <w:r>
              <w:rPr>
                <w:b w:val="0"/>
                <w:sz w:val="14"/>
              </w:rPr>
              <w:t>11.0</w:t>
            </w:r>
          </w:p>
        </w:tc>
      </w:tr>
      <w:tr>
        <w:trPr>
          <w:cantSplit/>
        </w:trPr>
        <w:tc>
          <w:tcPr>
            <w:tcW w:type="dxa" w:w="3061"/>
            <w:shd w:val="clear" w:fill="EAF4EF"/>
          </w:tcPr>
          <w:p>
            <w:pPr>
              <w:spacing w:after="20" w:before="20"/>
            </w:pPr>
            <w:r/>
            <w:r>
              <w:rPr>
                <w:b w:val="0"/>
                <w:sz w:val="14"/>
              </w:rPr>
              <w:t>Doctoral researchers (4)</w:t>
            </w:r>
          </w:p>
        </w:tc>
        <w:tc>
          <w:tcPr>
            <w:tcW w:type="dxa" w:w="850"/>
            <w:shd w:val="clear" w:fill="EAF4EF"/>
          </w:tcPr>
          <w:p>
            <w:pPr>
              <w:spacing w:after="20" w:before="20"/>
            </w:pPr>
            <w:r/>
            <w:r>
              <w:rPr>
                <w:b w:val="0"/>
                <w:sz w:val="14"/>
              </w:rPr>
              <w:t>2.0</w:t>
            </w:r>
          </w:p>
        </w:tc>
        <w:tc>
          <w:tcPr>
            <w:tcW w:type="dxa" w:w="850"/>
            <w:shd w:val="clear" w:fill="EAF4EF"/>
          </w:tcPr>
          <w:p>
            <w:pPr>
              <w:spacing w:after="20" w:before="20"/>
            </w:pPr>
            <w:r/>
            <w:r>
              <w:rPr>
                <w:b w:val="0"/>
                <w:sz w:val="14"/>
              </w:rPr>
              <w:t>3.0</w:t>
            </w:r>
          </w:p>
        </w:tc>
        <w:tc>
          <w:tcPr>
            <w:tcW w:type="dxa" w:w="850"/>
            <w:shd w:val="clear" w:fill="EAF4EF"/>
          </w:tcPr>
          <w:p>
            <w:pPr>
              <w:spacing w:after="20" w:before="20"/>
            </w:pPr>
            <w:r/>
            <w:r>
              <w:rPr>
                <w:b w:val="0"/>
                <w:sz w:val="14"/>
              </w:rPr>
              <w:t>4.0</w:t>
            </w:r>
          </w:p>
        </w:tc>
        <w:tc>
          <w:tcPr>
            <w:tcW w:type="dxa" w:w="850"/>
            <w:shd w:val="clear" w:fill="EAF4EF"/>
          </w:tcPr>
          <w:p>
            <w:pPr>
              <w:spacing w:after="20" w:before="20"/>
            </w:pPr>
            <w:r/>
            <w:r>
              <w:rPr>
                <w:b w:val="0"/>
                <w:sz w:val="14"/>
              </w:rPr>
              <w:t>4.0</w:t>
            </w:r>
          </w:p>
        </w:tc>
        <w:tc>
          <w:tcPr>
            <w:tcW w:type="dxa" w:w="850"/>
            <w:shd w:val="clear" w:fill="EAF4EF"/>
          </w:tcPr>
          <w:p>
            <w:pPr>
              <w:spacing w:after="20" w:before="20"/>
            </w:pPr>
            <w:r/>
            <w:r>
              <w:rPr>
                <w:b w:val="0"/>
                <w:sz w:val="14"/>
              </w:rPr>
              <w:t>3.0</w:t>
            </w:r>
          </w:p>
        </w:tc>
        <w:tc>
          <w:tcPr>
            <w:tcW w:type="dxa" w:w="850"/>
            <w:shd w:val="clear" w:fill="EAF4EF"/>
          </w:tcPr>
          <w:p>
            <w:pPr>
              <w:spacing w:after="20" w:before="20"/>
            </w:pPr>
            <w:r/>
            <w:r>
              <w:rPr>
                <w:b w:val="0"/>
                <w:sz w:val="14"/>
              </w:rPr>
              <w:t>16.0</w:t>
            </w:r>
          </w:p>
        </w:tc>
      </w:tr>
      <w:tr>
        <w:trPr>
          <w:cantSplit/>
        </w:trPr>
        <w:tc>
          <w:tcPr>
            <w:tcW w:type="dxa" w:w="3061"/>
          </w:tcPr>
          <w:p>
            <w:pPr>
              <w:spacing w:after="20" w:before="20"/>
            </w:pPr>
            <w:r/>
            <w:r>
              <w:rPr>
                <w:b w:val="0"/>
                <w:sz w:val="14"/>
              </w:rPr>
              <w:t>Research engineer (2.5)</w:t>
            </w:r>
          </w:p>
        </w:tc>
        <w:tc>
          <w:tcPr>
            <w:tcW w:type="dxa" w:w="850"/>
          </w:tcPr>
          <w:p>
            <w:pPr>
              <w:spacing w:after="20" w:before="20"/>
            </w:pPr>
            <w:r/>
            <w:r>
              <w:rPr>
                <w:b w:val="0"/>
                <w:sz w:val="14"/>
              </w:rPr>
              <w:t>2.0</w:t>
            </w:r>
          </w:p>
        </w:tc>
        <w:tc>
          <w:tcPr>
            <w:tcW w:type="dxa" w:w="850"/>
          </w:tcPr>
          <w:p>
            <w:pPr>
              <w:spacing w:after="20" w:before="20"/>
            </w:pPr>
            <w:r/>
            <w:r>
              <w:rPr>
                <w:b w:val="0"/>
                <w:sz w:val="14"/>
              </w:rPr>
              <w:t>2.5</w:t>
            </w:r>
          </w:p>
        </w:tc>
        <w:tc>
          <w:tcPr>
            <w:tcW w:type="dxa" w:w="850"/>
          </w:tcPr>
          <w:p>
            <w:pPr>
              <w:spacing w:after="20" w:before="20"/>
            </w:pPr>
            <w:r/>
            <w:r>
              <w:rPr>
                <w:b w:val="0"/>
                <w:sz w:val="14"/>
              </w:rPr>
              <w:t>2.5</w:t>
            </w:r>
          </w:p>
        </w:tc>
        <w:tc>
          <w:tcPr>
            <w:tcW w:type="dxa" w:w="850"/>
          </w:tcPr>
          <w:p>
            <w:pPr>
              <w:spacing w:after="20" w:before="20"/>
            </w:pPr>
            <w:r/>
            <w:r>
              <w:rPr>
                <w:b w:val="0"/>
                <w:sz w:val="14"/>
              </w:rPr>
              <w:t>1.5</w:t>
            </w:r>
          </w:p>
        </w:tc>
        <w:tc>
          <w:tcPr>
            <w:tcW w:type="dxa" w:w="850"/>
          </w:tcPr>
          <w:p>
            <w:pPr>
              <w:spacing w:after="20" w:before="20"/>
            </w:pPr>
            <w:r/>
            <w:r>
              <w:rPr>
                <w:b w:val="0"/>
                <w:sz w:val="14"/>
              </w:rPr>
              <w:t>1.0</w:t>
            </w:r>
          </w:p>
        </w:tc>
        <w:tc>
          <w:tcPr>
            <w:tcW w:type="dxa" w:w="850"/>
          </w:tcPr>
          <w:p>
            <w:pPr>
              <w:spacing w:after="20" w:before="20"/>
            </w:pPr>
            <w:r/>
            <w:r>
              <w:rPr>
                <w:b w:val="0"/>
                <w:sz w:val="14"/>
              </w:rPr>
              <w:t>9.5</w:t>
            </w:r>
          </w:p>
        </w:tc>
      </w:tr>
      <w:tr>
        <w:trPr>
          <w:cantSplit/>
        </w:trPr>
        <w:tc>
          <w:tcPr>
            <w:tcW w:type="dxa" w:w="3061"/>
            <w:shd w:val="clear" w:fill="EAF4EF"/>
          </w:tcPr>
          <w:p>
            <w:pPr>
              <w:spacing w:after="20" w:before="20"/>
            </w:pPr>
            <w:r/>
            <w:r>
              <w:rPr>
                <w:b w:val="0"/>
                <w:sz w:val="14"/>
              </w:rPr>
              <w:t>Statistician (1.0)</w:t>
            </w:r>
          </w:p>
        </w:tc>
        <w:tc>
          <w:tcPr>
            <w:tcW w:type="dxa" w:w="850"/>
            <w:shd w:val="clear" w:fill="EAF4EF"/>
          </w:tcPr>
          <w:p>
            <w:pPr>
              <w:spacing w:after="20" w:before="20"/>
            </w:pPr>
            <w:r/>
            <w:r>
              <w:rPr>
                <w:b w:val="0"/>
                <w:sz w:val="14"/>
              </w:rPr>
              <w:t>0.7</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4.7</w:t>
            </w:r>
          </w:p>
        </w:tc>
      </w:tr>
      <w:tr>
        <w:trPr>
          <w:cantSplit/>
        </w:trPr>
        <w:tc>
          <w:tcPr>
            <w:tcW w:type="dxa" w:w="3061"/>
          </w:tcPr>
          <w:p>
            <w:pPr>
              <w:spacing w:after="20" w:before="20"/>
            </w:pPr>
            <w:r/>
            <w:r>
              <w:rPr>
                <w:b w:val="0"/>
                <w:sz w:val="14"/>
              </w:rPr>
              <w:t>Ops/legal/governance (2.5)</w:t>
            </w:r>
          </w:p>
        </w:tc>
        <w:tc>
          <w:tcPr>
            <w:tcW w:type="dxa" w:w="850"/>
          </w:tcPr>
          <w:p>
            <w:pPr>
              <w:spacing w:after="20" w:before="20"/>
            </w:pPr>
            <w:r/>
            <w:r>
              <w:rPr>
                <w:b w:val="0"/>
                <w:sz w:val="14"/>
              </w:rPr>
              <w:t>1.5</w:t>
            </w:r>
          </w:p>
        </w:tc>
        <w:tc>
          <w:tcPr>
            <w:tcW w:type="dxa" w:w="850"/>
          </w:tcPr>
          <w:p>
            <w:pPr>
              <w:spacing w:after="20" w:before="20"/>
            </w:pPr>
            <w:r/>
            <w:r>
              <w:rPr>
                <w:b w:val="0"/>
                <w:sz w:val="14"/>
              </w:rPr>
              <w:t>2.5</w:t>
            </w:r>
          </w:p>
        </w:tc>
        <w:tc>
          <w:tcPr>
            <w:tcW w:type="dxa" w:w="850"/>
          </w:tcPr>
          <w:p>
            <w:pPr>
              <w:spacing w:after="20" w:before="20"/>
            </w:pPr>
            <w:r/>
            <w:r>
              <w:rPr>
                <w:b w:val="0"/>
                <w:sz w:val="14"/>
              </w:rPr>
              <w:t>2.5</w:t>
            </w:r>
          </w:p>
        </w:tc>
        <w:tc>
          <w:tcPr>
            <w:tcW w:type="dxa" w:w="850"/>
          </w:tcPr>
          <w:p>
            <w:pPr>
              <w:spacing w:after="20" w:before="20"/>
            </w:pPr>
            <w:r/>
            <w:r>
              <w:rPr>
                <w:b w:val="0"/>
                <w:sz w:val="14"/>
              </w:rPr>
              <w:t>2.0</w:t>
            </w:r>
          </w:p>
        </w:tc>
        <w:tc>
          <w:tcPr>
            <w:tcW w:type="dxa" w:w="850"/>
          </w:tcPr>
          <w:p>
            <w:pPr>
              <w:spacing w:after="20" w:before="20"/>
            </w:pPr>
            <w:r/>
            <w:r>
              <w:rPr>
                <w:b w:val="0"/>
                <w:sz w:val="14"/>
              </w:rPr>
              <w:t>2.0</w:t>
            </w:r>
          </w:p>
        </w:tc>
        <w:tc>
          <w:tcPr>
            <w:tcW w:type="dxa" w:w="850"/>
          </w:tcPr>
          <w:p>
            <w:pPr>
              <w:spacing w:after="20" w:before="20"/>
            </w:pPr>
            <w:r/>
            <w:r>
              <w:rPr>
                <w:b w:val="0"/>
                <w:sz w:val="14"/>
              </w:rPr>
              <w:t>10.5</w:t>
            </w:r>
          </w:p>
        </w:tc>
      </w:tr>
      <w:tr>
        <w:trPr>
          <w:cantSplit/>
        </w:trPr>
        <w:tc>
          <w:tcPr>
            <w:tcW w:type="dxa" w:w="3061"/>
            <w:shd w:val="clear" w:fill="EAF4EF"/>
          </w:tcPr>
          <w:p>
            <w:pPr>
              <w:spacing w:after="20" w:before="20"/>
            </w:pPr>
            <w:r/>
            <w:r>
              <w:rPr>
                <w:b w:val="0"/>
                <w:sz w:val="14"/>
              </w:rPr>
              <w:t>Containment engineer (1.0)</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1.0</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0.5</w:t>
            </w:r>
          </w:p>
        </w:tc>
        <w:tc>
          <w:tcPr>
            <w:tcW w:type="dxa" w:w="850"/>
            <w:shd w:val="clear" w:fill="EAF4EF"/>
          </w:tcPr>
          <w:p>
            <w:pPr>
              <w:spacing w:after="20" w:before="20"/>
            </w:pPr>
            <w:r/>
            <w:r>
              <w:rPr>
                <w:b w:val="0"/>
                <w:sz w:val="14"/>
              </w:rPr>
              <w:t>4.0</w:t>
            </w:r>
          </w:p>
        </w:tc>
      </w:tr>
      <w:tr>
        <w:trPr>
          <w:cantSplit/>
        </w:trPr>
        <w:tc>
          <w:tcPr>
            <w:tcW w:type="dxa" w:w="3061"/>
          </w:tcPr>
          <w:p>
            <w:pPr>
              <w:spacing w:after="20" w:before="20"/>
            </w:pPr>
            <w:r/>
            <w:r>
              <w:rPr>
                <w:b/>
                <w:sz w:val="14"/>
              </w:rPr>
              <w:t>Total FTE by year</w:t>
            </w:r>
          </w:p>
        </w:tc>
        <w:tc>
          <w:tcPr>
            <w:tcW w:type="dxa" w:w="850"/>
          </w:tcPr>
          <w:p>
            <w:pPr>
              <w:spacing w:after="20" w:before="20"/>
            </w:pPr>
            <w:r/>
            <w:r>
              <w:rPr>
                <w:b/>
                <w:sz w:val="14"/>
              </w:rPr>
              <w:t>10.8</w:t>
            </w:r>
          </w:p>
        </w:tc>
        <w:tc>
          <w:tcPr>
            <w:tcW w:type="dxa" w:w="850"/>
          </w:tcPr>
          <w:p>
            <w:pPr>
              <w:spacing w:after="20" w:before="20"/>
            </w:pPr>
            <w:r/>
            <w:r>
              <w:rPr>
                <w:b/>
                <w:sz w:val="14"/>
              </w:rPr>
              <w:t>15.0</w:t>
            </w:r>
          </w:p>
        </w:tc>
        <w:tc>
          <w:tcPr>
            <w:tcW w:type="dxa" w:w="850"/>
          </w:tcPr>
          <w:p>
            <w:pPr>
              <w:spacing w:after="20" w:before="20"/>
            </w:pPr>
            <w:r/>
            <w:r>
              <w:rPr>
                <w:b/>
                <w:sz w:val="14"/>
              </w:rPr>
              <w:t>16.0</w:t>
            </w:r>
          </w:p>
        </w:tc>
        <w:tc>
          <w:tcPr>
            <w:tcW w:type="dxa" w:w="850"/>
          </w:tcPr>
          <w:p>
            <w:pPr>
              <w:spacing w:after="20" w:before="20"/>
            </w:pPr>
            <w:r/>
            <w:r>
              <w:rPr>
                <w:b/>
                <w:sz w:val="14"/>
              </w:rPr>
              <w:t>13.0</w:t>
            </w:r>
          </w:p>
        </w:tc>
        <w:tc>
          <w:tcPr>
            <w:tcW w:type="dxa" w:w="850"/>
          </w:tcPr>
          <w:p>
            <w:pPr>
              <w:spacing w:after="20" w:before="20"/>
            </w:pPr>
            <w:r/>
            <w:r>
              <w:rPr>
                <w:b/>
                <w:sz w:val="14"/>
              </w:rPr>
              <w:t>10.5</w:t>
            </w:r>
          </w:p>
        </w:tc>
        <w:tc>
          <w:tcPr>
            <w:tcW w:type="dxa" w:w="850"/>
          </w:tcPr>
          <w:p>
            <w:pPr>
              <w:spacing w:after="20" w:before="20"/>
            </w:pPr>
            <w:r/>
            <w:r>
              <w:rPr>
                <w:b/>
                <w:sz w:val="14"/>
              </w:rPr>
              <w:t>65.3 FTE-years</w:t>
            </w:r>
          </w:p>
        </w:tc>
      </w:tr>
    </w:tbl>
    <w:p>
      <w:pPr>
        <w:spacing w:after="100"/>
      </w:pPr>
      <w:r>
        <w:rPr>
          <w:b w:val="0"/>
          <w:i/>
          <w:sz w:val="16"/>
        </w:rPr>
        <w:t>Row and column totals are computed from the cells rather than typed, and two v1.0 errors are corrected with them. The Full table dropped the fifth year of the principal-investigator row and printed a total of 61 FTE-years against a row sum of 65.3 (OI-11). The Lean table had no doctoral-researcher row although the Lean cost line funds one at €135,000 — 1.0 FTE over three years, squarely inside the €45–55k band — and with the row restored the Lean peak FTE comes to exactly the 3.0 the resource model always claimed (OI-12).</w:t>
      </w:r>
    </w:p>
    <w:p>
      <w:pPr>
        <w:pStyle w:val="Heading1"/>
      </w:pPr>
      <w:r>
        <w:t>Annex C. Compute and annotation estimation</w:t>
      </w:r>
    </w:p>
    <w:p>
      <w:pPr>
        <w:spacing w:before="0" w:after="140" w:line="40" w:lineRule="exact"/>
        <w:pBdr>
          <w:bottom w:val="single" w:sz="16" w:space="0" w:color="E8A13D"/>
        </w:pBdr>
      </w:pPr>
      <w:r>
        <w:rPr>
          <w:sz w:val="2"/>
        </w:rPr>
      </w:r>
    </w:p>
    <w:p>
      <w:pPr>
        <w:spacing w:after="100"/>
      </w:pPr>
      <w:r>
        <w:rPr>
          <w:b w:val="0"/>
          <w:i w:val="0"/>
          <w:sz w:val="19"/>
        </w:rPr>
        <w:t>This annex exists because the v1.0 edition carried two compute numbers that do not reconcile with each other or with the cost line. It stated that a 360-item bank requires 720,000 item-presentations for N = 20 across ten checkpoints; the arithmetic is 360 × 20 × 10 = 72,000, an order of magnitude lower. It also gave a local inference basis of €0.7–1.1 per thousand generations, at which 650,000 generations cost under a thousand euro — nowhere near the €450,000 on the line. Both statements were true of different things and neither was the cost line, because the line is not a generation count multiplied by a unit price: it is generations plus fine-tuning runs plus cluster share, and v1.0 did not separate them. This annex separates them and marks the part nobody has priced. The correction is OI-10.</w:t>
      </w:r>
    </w:p>
    <w:p>
      <w:pPr>
        <w:pStyle w:val="Heading3"/>
      </w:pPr>
      <w:r>
        <w:t>C.1 The generation volume model (Core scenario)</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3515"/>
            <w:shd w:val="clear" w:fill="0F2622"/>
          </w:tcPr>
          <w:p>
            <w:pPr>
              <w:spacing w:after="20" w:before="20"/>
            </w:pPr>
            <w:r/>
            <w:r>
              <w:rPr>
                <w:b/>
                <w:color w:val="FFFFFF"/>
                <w:sz w:val="14"/>
              </w:rPr>
              <w:t>Block</w:t>
            </w:r>
          </w:p>
        </w:tc>
        <w:tc>
          <w:tcPr>
            <w:tcW w:type="dxa" w:w="4195"/>
            <w:shd w:val="clear" w:fill="0F2622"/>
          </w:tcPr>
          <w:p>
            <w:pPr>
              <w:spacing w:after="20" w:before="20"/>
            </w:pPr>
            <w:r/>
            <w:r>
              <w:rPr>
                <w:b/>
                <w:color w:val="FFFFFF"/>
                <w:sz w:val="14"/>
              </w:rPr>
              <w:t>Arithmetic</w:t>
            </w:r>
          </w:p>
        </w:tc>
        <w:tc>
          <w:tcPr>
            <w:tcW w:type="dxa" w:w="1928"/>
            <w:shd w:val="clear" w:fill="0F2622"/>
          </w:tcPr>
          <w:p>
            <w:pPr>
              <w:spacing w:after="20" w:before="20"/>
            </w:pPr>
            <w:r/>
            <w:r>
              <w:rPr>
                <w:b/>
                <w:color w:val="FFFFFF"/>
                <w:sz w:val="14"/>
              </w:rPr>
              <w:t>Scored generations</w:t>
            </w:r>
          </w:p>
        </w:tc>
      </w:tr>
      <w:tr>
        <w:trPr>
          <w:cantSplit/>
        </w:trPr>
        <w:tc>
          <w:tcPr>
            <w:tcW w:type="dxa" w:w="3515"/>
          </w:tcPr>
          <w:p>
            <w:pPr>
              <w:spacing w:after="20" w:before="20"/>
            </w:pPr>
            <w:r/>
            <w:r>
              <w:rPr>
                <w:b w:val="0"/>
                <w:sz w:val="14"/>
              </w:rPr>
              <w:t>SCT-2.0 item calibration, form A</w:t>
            </w:r>
          </w:p>
        </w:tc>
        <w:tc>
          <w:tcPr>
            <w:tcW w:type="dxa" w:w="4195"/>
          </w:tcPr>
          <w:p>
            <w:pPr>
              <w:spacing w:after="20" w:before="20"/>
            </w:pPr>
            <w:r/>
            <w:r>
              <w:rPr>
                <w:b w:val="0"/>
                <w:sz w:val="14"/>
              </w:rPr>
              <w:t>360 items × 20 runs × 10 checkpoints</w:t>
            </w:r>
          </w:p>
        </w:tc>
        <w:tc>
          <w:tcPr>
            <w:tcW w:type="dxa" w:w="1928"/>
          </w:tcPr>
          <w:p>
            <w:pPr>
              <w:spacing w:after="20" w:before="20"/>
            </w:pPr>
            <w:r/>
            <w:r>
              <w:rPr>
                <w:b w:val="0"/>
                <w:sz w:val="14"/>
              </w:rPr>
              <w:t>72,000</w:t>
            </w:r>
          </w:p>
        </w:tc>
      </w:tr>
      <w:tr>
        <w:trPr>
          <w:cantSplit/>
        </w:trPr>
        <w:tc>
          <w:tcPr>
            <w:tcW w:type="dxa" w:w="3515"/>
            <w:shd w:val="clear" w:fill="EAF4EF"/>
          </w:tcPr>
          <w:p>
            <w:pPr>
              <w:spacing w:after="20" w:before="20"/>
            </w:pPr>
            <w:r/>
            <w:r>
              <w:rPr>
                <w:b w:val="0"/>
                <w:sz w:val="14"/>
              </w:rPr>
              <w:t>SCT-2.0 parallel form B</w:t>
            </w:r>
          </w:p>
        </w:tc>
        <w:tc>
          <w:tcPr>
            <w:tcW w:type="dxa" w:w="4195"/>
            <w:shd w:val="clear" w:fill="EAF4EF"/>
          </w:tcPr>
          <w:p>
            <w:pPr>
              <w:spacing w:after="20" w:before="20"/>
            </w:pPr>
            <w:r/>
            <w:r>
              <w:rPr>
                <w:b w:val="0"/>
                <w:sz w:val="14"/>
              </w:rPr>
              <w:t>360 × 20 × 10</w:t>
            </w:r>
          </w:p>
        </w:tc>
        <w:tc>
          <w:tcPr>
            <w:tcW w:type="dxa" w:w="1928"/>
            <w:shd w:val="clear" w:fill="EAF4EF"/>
          </w:tcPr>
          <w:p>
            <w:pPr>
              <w:spacing w:after="20" w:before="20"/>
            </w:pPr>
            <w:r/>
            <w:r>
              <w:rPr>
                <w:b w:val="0"/>
                <w:sz w:val="14"/>
              </w:rPr>
              <w:t>72,000</w:t>
            </w:r>
          </w:p>
        </w:tc>
      </w:tr>
      <w:tr>
        <w:trPr>
          <w:cantSplit/>
        </w:trPr>
        <w:tc>
          <w:tcPr>
            <w:tcW w:type="dxa" w:w="3515"/>
          </w:tcPr>
          <w:p>
            <w:pPr>
              <w:spacing w:after="20" w:before="20"/>
            </w:pPr>
            <w:r/>
            <w:r>
              <w:rPr>
                <w:b w:val="0"/>
                <w:sz w:val="14"/>
              </w:rPr>
              <w:t>Test–retest, two occasions, half bank</w:t>
            </w:r>
          </w:p>
        </w:tc>
        <w:tc>
          <w:tcPr>
            <w:tcW w:type="dxa" w:w="4195"/>
          </w:tcPr>
          <w:p>
            <w:pPr>
              <w:spacing w:after="20" w:before="20"/>
            </w:pPr>
            <w:r/>
            <w:r>
              <w:rPr>
                <w:b w:val="0"/>
                <w:sz w:val="14"/>
              </w:rPr>
              <w:t>180 × 20 × 10 × 2</w:t>
            </w:r>
          </w:p>
        </w:tc>
        <w:tc>
          <w:tcPr>
            <w:tcW w:type="dxa" w:w="1928"/>
          </w:tcPr>
          <w:p>
            <w:pPr>
              <w:spacing w:after="20" w:before="20"/>
            </w:pPr>
            <w:r/>
            <w:r>
              <w:rPr>
                <w:b w:val="0"/>
                <w:sz w:val="14"/>
              </w:rPr>
              <w:t>72,000</w:t>
            </w:r>
          </w:p>
        </w:tc>
      </w:tr>
      <w:tr>
        <w:trPr>
          <w:cantSplit/>
        </w:trPr>
        <w:tc>
          <w:tcPr>
            <w:tcW w:type="dxa" w:w="3515"/>
            <w:shd w:val="clear" w:fill="EAF4EF"/>
          </w:tcPr>
          <w:p>
            <w:pPr>
              <w:spacing w:after="20" w:before="20"/>
            </w:pPr>
            <w:r/>
            <w:r>
              <w:rPr>
                <w:b w:val="0"/>
                <w:sz w:val="14"/>
              </w:rPr>
              <w:t>Language and harness invariance</w:t>
            </w:r>
          </w:p>
        </w:tc>
        <w:tc>
          <w:tcPr>
            <w:tcW w:type="dxa" w:w="4195"/>
            <w:shd w:val="clear" w:fill="EAF4EF"/>
          </w:tcPr>
          <w:p>
            <w:pPr>
              <w:spacing w:after="20" w:before="20"/>
            </w:pPr>
            <w:r/>
            <w:r>
              <w:rPr>
                <w:b w:val="0"/>
                <w:sz w:val="14"/>
              </w:rPr>
              <w:t>180 × 20 × 6 checkpoints × 4 conditions</w:t>
            </w:r>
          </w:p>
        </w:tc>
        <w:tc>
          <w:tcPr>
            <w:tcW w:type="dxa" w:w="1928"/>
            <w:shd w:val="clear" w:fill="EAF4EF"/>
          </w:tcPr>
          <w:p>
            <w:pPr>
              <w:spacing w:after="20" w:before="20"/>
            </w:pPr>
            <w:r/>
            <w:r>
              <w:rPr>
                <w:b w:val="0"/>
                <w:sz w:val="14"/>
              </w:rPr>
              <w:t>86,400</w:t>
            </w:r>
          </w:p>
        </w:tc>
      </w:tr>
      <w:tr>
        <w:trPr>
          <w:cantSplit/>
        </w:trPr>
        <w:tc>
          <w:tcPr>
            <w:tcW w:type="dxa" w:w="3515"/>
          </w:tcPr>
          <w:p>
            <w:pPr>
              <w:spacing w:after="20" w:before="20"/>
            </w:pPr>
            <w:r/>
            <w:r>
              <w:rPr>
                <w:b w:val="0"/>
                <w:sz w:val="14"/>
              </w:rPr>
              <w:t>WP3 differential batteries (46-entry priority set)</w:t>
            </w:r>
          </w:p>
        </w:tc>
        <w:tc>
          <w:tcPr>
            <w:tcW w:type="dxa" w:w="4195"/>
          </w:tcPr>
          <w:p>
            <w:pPr>
              <w:spacing w:after="20" w:before="20"/>
            </w:pPr>
            <w:r/>
            <w:r>
              <w:rPr>
                <w:b w:val="0"/>
                <w:sz w:val="14"/>
              </w:rPr>
              <w:t>46 entries × 30 items × 20 runs × 6 checkpoints</w:t>
            </w:r>
          </w:p>
        </w:tc>
        <w:tc>
          <w:tcPr>
            <w:tcW w:type="dxa" w:w="1928"/>
          </w:tcPr>
          <w:p>
            <w:pPr>
              <w:spacing w:after="20" w:before="20"/>
            </w:pPr>
            <w:r/>
            <w:r>
              <w:rPr>
                <w:b w:val="0"/>
                <w:sz w:val="14"/>
              </w:rPr>
              <w:t>165,600</w:t>
            </w:r>
          </w:p>
        </w:tc>
      </w:tr>
      <w:tr>
        <w:trPr>
          <w:cantSplit/>
        </w:trPr>
        <w:tc>
          <w:tcPr>
            <w:tcW w:type="dxa" w:w="3515"/>
            <w:shd w:val="clear" w:fill="EAF4EF"/>
          </w:tcPr>
          <w:p>
            <w:pPr>
              <w:spacing w:after="20" w:before="20"/>
            </w:pPr>
            <w:r/>
            <w:r>
              <w:rPr>
                <w:b w:val="0"/>
                <w:sz w:val="14"/>
              </w:rPr>
              <w:t>WP3 prevalence atlas</w:t>
            </w:r>
          </w:p>
        </w:tc>
        <w:tc>
          <w:tcPr>
            <w:tcW w:type="dxa" w:w="4195"/>
            <w:shd w:val="clear" w:fill="EAF4EF"/>
          </w:tcPr>
          <w:p>
            <w:pPr>
              <w:spacing w:after="20" w:before="20"/>
            </w:pPr>
            <w:r/>
            <w:r>
              <w:rPr>
                <w:b w:val="0"/>
                <w:sz w:val="14"/>
              </w:rPr>
              <w:t>120-item screen × 5 runs × 25 vendor/version pairs</w:t>
            </w:r>
          </w:p>
        </w:tc>
        <w:tc>
          <w:tcPr>
            <w:tcW w:type="dxa" w:w="1928"/>
            <w:shd w:val="clear" w:fill="EAF4EF"/>
          </w:tcPr>
          <w:p>
            <w:pPr>
              <w:spacing w:after="20" w:before="20"/>
            </w:pPr>
            <w:r/>
            <w:r>
              <w:rPr>
                <w:b w:val="0"/>
                <w:sz w:val="14"/>
              </w:rPr>
              <w:t>15,000</w:t>
            </w:r>
          </w:p>
        </w:tc>
      </w:tr>
      <w:tr>
        <w:trPr>
          <w:cantSplit/>
        </w:trPr>
        <w:tc>
          <w:tcPr>
            <w:tcW w:type="dxa" w:w="3515"/>
          </w:tcPr>
          <w:p>
            <w:pPr>
              <w:spacing w:after="20" w:before="20"/>
            </w:pPr>
            <w:r/>
            <w:r>
              <w:rPr>
                <w:b w:val="0"/>
                <w:sz w:val="14"/>
              </w:rPr>
              <w:t>WP3 discovery probes</w:t>
            </w:r>
          </w:p>
        </w:tc>
        <w:tc>
          <w:tcPr>
            <w:tcW w:type="dxa" w:w="4195"/>
          </w:tcPr>
          <w:p>
            <w:pPr>
              <w:spacing w:after="20" w:before="20"/>
            </w:pPr>
            <w:r/>
            <w:r>
              <w:rPr>
                <w:b w:val="0"/>
                <w:sz w:val="14"/>
              </w:rPr>
              <w:t>allowance, not a derived figure</w:t>
            </w:r>
          </w:p>
        </w:tc>
        <w:tc>
          <w:tcPr>
            <w:tcW w:type="dxa" w:w="1928"/>
          </w:tcPr>
          <w:p>
            <w:pPr>
              <w:spacing w:after="20" w:before="20"/>
            </w:pPr>
            <w:r/>
            <w:r>
              <w:rPr>
                <w:b w:val="0"/>
                <w:sz w:val="14"/>
              </w:rPr>
              <w:t>15,000</w:t>
            </w:r>
          </w:p>
        </w:tc>
      </w:tr>
      <w:tr>
        <w:trPr>
          <w:cantSplit/>
        </w:trPr>
        <w:tc>
          <w:tcPr>
            <w:tcW w:type="dxa" w:w="3515"/>
            <w:shd w:val="clear" w:fill="EAF4EF"/>
          </w:tcPr>
          <w:p>
            <w:pPr>
              <w:spacing w:after="20" w:before="20"/>
            </w:pPr>
            <w:r/>
            <w:r>
              <w:rPr>
                <w:b w:val="0"/>
                <w:sz w:val="14"/>
              </w:rPr>
              <w:t>WP4 causal assays on organisms</w:t>
            </w:r>
          </w:p>
        </w:tc>
        <w:tc>
          <w:tcPr>
            <w:tcW w:type="dxa" w:w="4195"/>
            <w:shd w:val="clear" w:fill="EAF4EF"/>
          </w:tcPr>
          <w:p>
            <w:pPr>
              <w:spacing w:after="20" w:before="20"/>
            </w:pPr>
            <w:r/>
            <w:r>
              <w:rPr>
                <w:b w:val="0"/>
                <w:sz w:val="14"/>
              </w:rPr>
              <w:t>12 organisms × 120 items × 20 runs</w:t>
            </w:r>
          </w:p>
        </w:tc>
        <w:tc>
          <w:tcPr>
            <w:tcW w:type="dxa" w:w="1928"/>
            <w:shd w:val="clear" w:fill="EAF4EF"/>
          </w:tcPr>
          <w:p>
            <w:pPr>
              <w:spacing w:after="20" w:before="20"/>
            </w:pPr>
            <w:r/>
            <w:r>
              <w:rPr>
                <w:b w:val="0"/>
                <w:sz w:val="14"/>
              </w:rPr>
              <w:t>28,800</w:t>
            </w:r>
          </w:p>
        </w:tc>
      </w:tr>
      <w:tr>
        <w:trPr>
          <w:cantSplit/>
        </w:trPr>
        <w:tc>
          <w:tcPr>
            <w:tcW w:type="dxa" w:w="3515"/>
          </w:tcPr>
          <w:p>
            <w:pPr>
              <w:spacing w:after="20" w:before="20"/>
            </w:pPr>
            <w:r/>
            <w:r>
              <w:rPr>
                <w:b w:val="0"/>
                <w:sz w:val="14"/>
              </w:rPr>
              <w:t>WP5 treatment trials</w:t>
            </w:r>
          </w:p>
        </w:tc>
        <w:tc>
          <w:tcPr>
            <w:tcW w:type="dxa" w:w="4195"/>
          </w:tcPr>
          <w:p>
            <w:pPr>
              <w:spacing w:after="20" w:before="20"/>
            </w:pPr>
            <w:r/>
            <w:r>
              <w:rPr>
                <w:b w:val="0"/>
                <w:sz w:val="14"/>
              </w:rPr>
              <w:t>3 trials × 4 arms × 120 × 20</w:t>
            </w:r>
          </w:p>
        </w:tc>
        <w:tc>
          <w:tcPr>
            <w:tcW w:type="dxa" w:w="1928"/>
          </w:tcPr>
          <w:p>
            <w:pPr>
              <w:spacing w:after="20" w:before="20"/>
            </w:pPr>
            <w:r/>
            <w:r>
              <w:rPr>
                <w:b w:val="0"/>
                <w:sz w:val="14"/>
              </w:rPr>
              <w:t>28,800</w:t>
            </w:r>
          </w:p>
        </w:tc>
      </w:tr>
      <w:tr>
        <w:trPr>
          <w:cantSplit/>
        </w:trPr>
        <w:tc>
          <w:tcPr>
            <w:tcW w:type="dxa" w:w="3515"/>
            <w:shd w:val="clear" w:fill="EAF4EF"/>
          </w:tcPr>
          <w:p>
            <w:pPr>
              <w:spacing w:after="20" w:before="20"/>
            </w:pPr>
            <w:r/>
            <w:r>
              <w:rPr>
                <w:b w:val="0"/>
                <w:sz w:val="14"/>
              </w:rPr>
              <w:t>WP5 relapse tracking</w:t>
            </w:r>
          </w:p>
        </w:tc>
        <w:tc>
          <w:tcPr>
            <w:tcW w:type="dxa" w:w="4195"/>
            <w:shd w:val="clear" w:fill="EAF4EF"/>
          </w:tcPr>
          <w:p>
            <w:pPr>
              <w:spacing w:after="20" w:before="20"/>
            </w:pPr>
            <w:r/>
            <w:r>
              <w:rPr>
                <w:b w:val="0"/>
                <w:sz w:val="14"/>
              </w:rPr>
              <w:t>3 trials × 3 occasions × 120 × 10</w:t>
            </w:r>
          </w:p>
        </w:tc>
        <w:tc>
          <w:tcPr>
            <w:tcW w:type="dxa" w:w="1928"/>
            <w:shd w:val="clear" w:fill="EAF4EF"/>
          </w:tcPr>
          <w:p>
            <w:pPr>
              <w:spacing w:after="20" w:before="20"/>
            </w:pPr>
            <w:r/>
            <w:r>
              <w:rPr>
                <w:b w:val="0"/>
                <w:sz w:val="14"/>
              </w:rPr>
              <w:t>10,800</w:t>
            </w:r>
          </w:p>
        </w:tc>
      </w:tr>
      <w:tr>
        <w:trPr>
          <w:cantSplit/>
        </w:trPr>
        <w:tc>
          <w:tcPr>
            <w:tcW w:type="dxa" w:w="3515"/>
          </w:tcPr>
          <w:p>
            <w:pPr>
              <w:spacing w:after="20" w:before="20"/>
            </w:pPr>
            <w:r/>
            <w:r>
              <w:rPr>
                <w:b w:val="0"/>
                <w:sz w:val="14"/>
              </w:rPr>
              <w:t>WP6 build-in gate trials</w:t>
            </w:r>
          </w:p>
        </w:tc>
        <w:tc>
          <w:tcPr>
            <w:tcW w:type="dxa" w:w="4195"/>
          </w:tcPr>
          <w:p>
            <w:pPr>
              <w:spacing w:after="20" w:before="20"/>
            </w:pPr>
            <w:r/>
            <w:r>
              <w:rPr>
                <w:b w:val="0"/>
                <w:sz w:val="14"/>
              </w:rPr>
              <w:t>8 conditions × 120 × 20</w:t>
            </w:r>
          </w:p>
        </w:tc>
        <w:tc>
          <w:tcPr>
            <w:tcW w:type="dxa" w:w="1928"/>
          </w:tcPr>
          <w:p>
            <w:pPr>
              <w:spacing w:after="20" w:before="20"/>
            </w:pPr>
            <w:r/>
            <w:r>
              <w:rPr>
                <w:b w:val="0"/>
                <w:sz w:val="14"/>
              </w:rPr>
              <w:t>19,200</w:t>
            </w:r>
          </w:p>
        </w:tc>
      </w:tr>
      <w:tr>
        <w:trPr>
          <w:cantSplit/>
        </w:trPr>
        <w:tc>
          <w:tcPr>
            <w:tcW w:type="dxa" w:w="3515"/>
            <w:shd w:val="clear" w:fill="EAF4EF"/>
          </w:tcPr>
          <w:p>
            <w:pPr>
              <w:spacing w:after="20" w:before="20"/>
            </w:pPr>
            <w:r/>
            <w:r>
              <w:rPr>
                <w:b w:val="0"/>
                <w:sz w:val="14"/>
              </w:rPr>
              <w:t>WP7 clause validation</w:t>
            </w:r>
          </w:p>
        </w:tc>
        <w:tc>
          <w:tcPr>
            <w:tcW w:type="dxa" w:w="4195"/>
            <w:shd w:val="clear" w:fill="EAF4EF"/>
          </w:tcPr>
          <w:p>
            <w:pPr>
              <w:spacing w:after="20" w:before="20"/>
            </w:pPr>
            <w:r/>
            <w:r>
              <w:rPr>
                <w:b w:val="0"/>
                <w:sz w:val="14"/>
              </w:rPr>
              <w:t>6 clauses × 3 families × 60 items × 20</w:t>
            </w:r>
          </w:p>
        </w:tc>
        <w:tc>
          <w:tcPr>
            <w:tcW w:type="dxa" w:w="1928"/>
            <w:shd w:val="clear" w:fill="EAF4EF"/>
          </w:tcPr>
          <w:p>
            <w:pPr>
              <w:spacing w:after="20" w:before="20"/>
            </w:pPr>
            <w:r/>
            <w:r>
              <w:rPr>
                <w:b w:val="0"/>
                <w:sz w:val="14"/>
              </w:rPr>
              <w:t>21,600</w:t>
            </w:r>
          </w:p>
        </w:tc>
      </w:tr>
      <w:tr>
        <w:trPr>
          <w:cantSplit/>
        </w:trPr>
        <w:tc>
          <w:tcPr>
            <w:tcW w:type="dxa" w:w="3515"/>
          </w:tcPr>
          <w:p>
            <w:pPr>
              <w:spacing w:after="20" w:before="20"/>
            </w:pPr>
            <w:r/>
            <w:r>
              <w:rPr>
                <w:b/>
                <w:sz w:val="14"/>
              </w:rPr>
              <w:t>Scored generations, Core scenario</w:t>
            </w:r>
          </w:p>
        </w:tc>
        <w:tc>
          <w:tcPr>
            <w:tcW w:type="dxa" w:w="4195"/>
          </w:tcPr>
          <w:p>
            <w:pPr>
              <w:spacing w:after="20" w:before="20"/>
            </w:pPr>
            <w:r/>
            <w:r>
              <w:rPr>
                <w:b/>
                <w:sz w:val="14"/>
              </w:rPr>
              <w:t>sum of the blocks above</w:t>
            </w:r>
          </w:p>
        </w:tc>
        <w:tc>
          <w:tcPr>
            <w:tcW w:type="dxa" w:w="1928"/>
          </w:tcPr>
          <w:p>
            <w:pPr>
              <w:spacing w:after="20" w:before="20"/>
            </w:pPr>
            <w:r/>
            <w:r>
              <w:rPr>
                <w:b/>
                <w:sz w:val="14"/>
              </w:rPr>
              <w:t>607,200</w:t>
            </w:r>
          </w:p>
        </w:tc>
      </w:tr>
      <w:tr>
        <w:trPr>
          <w:cantSplit/>
        </w:trPr>
        <w:tc>
          <w:tcPr>
            <w:tcW w:type="dxa" w:w="3515"/>
            <w:shd w:val="clear" w:fill="EAF4EF"/>
          </w:tcPr>
          <w:p>
            <w:pPr>
              <w:spacing w:after="20" w:before="20"/>
            </w:pPr>
            <w:r/>
            <w:r>
              <w:rPr>
                <w:b w:val="0"/>
                <w:sz w:val="14"/>
              </w:rPr>
              <w:t>Reproducibility reserve</w:t>
            </w:r>
          </w:p>
        </w:tc>
        <w:tc>
          <w:tcPr>
            <w:tcW w:type="dxa" w:w="4195"/>
            <w:shd w:val="clear" w:fill="EAF4EF"/>
          </w:tcPr>
          <w:p>
            <w:pPr>
              <w:spacing w:after="20" w:before="20"/>
            </w:pPr>
            <w:r/>
            <w:r>
              <w:rPr>
                <w:b w:val="0"/>
                <w:sz w:val="14"/>
              </w:rPr>
              <w:t>10% of the total, for independent re-run</w:t>
            </w:r>
          </w:p>
        </w:tc>
        <w:tc>
          <w:tcPr>
            <w:tcW w:type="dxa" w:w="1928"/>
            <w:shd w:val="clear" w:fill="EAF4EF"/>
          </w:tcPr>
          <w:p>
            <w:pPr>
              <w:spacing w:after="20" w:before="20"/>
            </w:pPr>
            <w:r/>
            <w:r>
              <w:rPr>
                <w:b w:val="0"/>
                <w:sz w:val="14"/>
              </w:rPr>
              <w:t>60,720</w:t>
            </w:r>
          </w:p>
        </w:tc>
      </w:tr>
      <w:tr>
        <w:trPr>
          <w:cantSplit/>
        </w:trPr>
        <w:tc>
          <w:tcPr>
            <w:tcW w:type="dxa" w:w="3515"/>
          </w:tcPr>
          <w:p>
            <w:pPr>
              <w:spacing w:after="20" w:before="20"/>
            </w:pPr>
            <w:r/>
            <w:r>
              <w:rPr>
                <w:b/>
                <w:sz w:val="14"/>
              </w:rPr>
              <w:t>With the reserve</w:t>
            </w:r>
          </w:p>
        </w:tc>
        <w:tc>
          <w:tcPr>
            <w:tcW w:type="dxa" w:w="4195"/>
          </w:tcPr>
          <w:p>
            <w:pPr>
              <w:spacing w:after="20" w:before="20"/>
            </w:pPr>
            <w:r/>
            <w:r>
              <w:rPr>
                <w:b w:val="0"/>
                <w:sz w:val="14"/>
              </w:rPr>
            </w:r>
          </w:p>
        </w:tc>
        <w:tc>
          <w:tcPr>
            <w:tcW w:type="dxa" w:w="1928"/>
          </w:tcPr>
          <w:p>
            <w:pPr>
              <w:spacing w:after="20" w:before="20"/>
            </w:pPr>
            <w:r/>
            <w:r>
              <w:rPr>
                <w:b/>
                <w:sz w:val="14"/>
              </w:rPr>
              <w:t>667,920</w:t>
            </w:r>
          </w:p>
        </w:tc>
      </w:tr>
    </w:tbl>
    <w:p>
      <w:pPr>
        <w:spacing w:after="100"/>
      </w:pPr>
      <w:r>
        <w:rPr>
          <w:b w:val="0"/>
          <w:i/>
          <w:sz w:val="16"/>
        </w:rPr>
        <w:t>Every block is a stated multiplication a reader can check. The discovery-probe row is an allowance rather than a derived figure and says so. The model covers scored generations only: it does not cover the fine-tuning runs that create the model organisms, the DSM-TRN-1 training regimens, or the cluster share, which are the larger part of the line and are treated in C.2. The induction batches rest on the finding that narrow fine-tuning generalises into broad misalignment [40], and the recovery test that follows every ‘removed’ behaviour rests on the finding that trained-in behaviour can survive safety training [41]; both are compute, and both are in C.2 rather than here.</w:t>
      </w:r>
    </w:p>
    <w:p>
      <w:pPr>
        <w:pStyle w:val="Heading3"/>
      </w:pPr>
      <w:r>
        <w:t>C.2 What the volume costs, and what is a placeholder</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928"/>
            <w:shd w:val="clear" w:fill="0F2622"/>
          </w:tcPr>
          <w:p>
            <w:pPr>
              <w:spacing w:after="20" w:before="20"/>
            </w:pPr>
            <w:r/>
            <w:r>
              <w:rPr>
                <w:b/>
                <w:color w:val="FFFFFF"/>
                <w:sz w:val="14"/>
              </w:rPr>
              <w:t>Component</w:t>
            </w:r>
          </w:p>
        </w:tc>
        <w:tc>
          <w:tcPr>
            <w:tcW w:type="dxa" w:w="3742"/>
            <w:shd w:val="clear" w:fill="0F2622"/>
          </w:tcPr>
          <w:p>
            <w:pPr>
              <w:spacing w:after="20" w:before="20"/>
            </w:pPr>
            <w:r/>
            <w:r>
              <w:rPr>
                <w:b/>
                <w:color w:val="FFFFFF"/>
                <w:sz w:val="14"/>
              </w:rPr>
              <w:t>Basis</w:t>
            </w:r>
          </w:p>
        </w:tc>
        <w:tc>
          <w:tcPr>
            <w:tcW w:type="dxa" w:w="1928"/>
            <w:shd w:val="clear" w:fill="0F2622"/>
          </w:tcPr>
          <w:p>
            <w:pPr>
              <w:spacing w:after="20" w:before="20"/>
            </w:pPr>
            <w:r/>
            <w:r>
              <w:rPr>
                <w:b/>
                <w:color w:val="FFFFFF"/>
                <w:sz w:val="14"/>
              </w:rPr>
              <w:t>Planning figure</w:t>
            </w:r>
          </w:p>
        </w:tc>
        <w:tc>
          <w:tcPr>
            <w:tcW w:type="dxa" w:w="2041"/>
            <w:shd w:val="clear" w:fill="0F2622"/>
          </w:tcPr>
          <w:p>
            <w:pPr>
              <w:spacing w:after="20" w:before="20"/>
            </w:pPr>
            <w:r/>
            <w:r>
              <w:rPr>
                <w:b/>
                <w:color w:val="FFFFFF"/>
                <w:sz w:val="14"/>
              </w:rPr>
              <w:t>Status</w:t>
            </w:r>
          </w:p>
        </w:tc>
      </w:tr>
      <w:tr>
        <w:trPr>
          <w:cantSplit/>
        </w:trPr>
        <w:tc>
          <w:tcPr>
            <w:tcW w:type="dxa" w:w="1928"/>
          </w:tcPr>
          <w:p>
            <w:pPr>
              <w:spacing w:after="20" w:before="20"/>
            </w:pPr>
            <w:r/>
            <w:r>
              <w:rPr>
                <w:b w:val="0"/>
                <w:sz w:val="14"/>
              </w:rPr>
              <w:t>Local open-weight generations</w:t>
            </w:r>
          </w:p>
        </w:tc>
        <w:tc>
          <w:tcPr>
            <w:tcW w:type="dxa" w:w="3742"/>
          </w:tcPr>
          <w:p>
            <w:pPr>
              <w:spacing w:after="20" w:before="20"/>
            </w:pPr>
            <w:r/>
            <w:r>
              <w:rPr>
                <w:b w:val="0"/>
                <w:sz w:val="14"/>
              </w:rPr>
              <w:t>367,356 generations at €0.7–1.1 per 1,000, amortised hardware plus electricity</w:t>
            </w:r>
          </w:p>
        </w:tc>
        <w:tc>
          <w:tcPr>
            <w:tcW w:type="dxa" w:w="1928"/>
          </w:tcPr>
          <w:p>
            <w:pPr>
              <w:spacing w:after="20" w:before="20"/>
            </w:pPr>
            <w:r/>
            <w:r>
              <w:rPr>
                <w:b w:val="0"/>
                <w:sz w:val="14"/>
              </w:rPr>
              <w:t>€257–404 — effectively free at this volume</w:t>
            </w:r>
          </w:p>
        </w:tc>
        <w:tc>
          <w:tcPr>
            <w:tcW w:type="dxa" w:w="2041"/>
          </w:tcPr>
          <w:p>
            <w:pPr>
              <w:spacing w:after="20" w:before="20"/>
            </w:pPr>
            <w:r/>
            <w:r>
              <w:rPr>
                <w:b w:val="0"/>
                <w:sz w:val="14"/>
              </w:rPr>
              <w:t>Modelled</w:t>
            </w:r>
          </w:p>
        </w:tc>
      </w:tr>
      <w:tr>
        <w:trPr>
          <w:cantSplit/>
        </w:trPr>
        <w:tc>
          <w:tcPr>
            <w:tcW w:type="dxa" w:w="1928"/>
            <w:shd w:val="clear" w:fill="EAF4EF"/>
          </w:tcPr>
          <w:p>
            <w:pPr>
              <w:spacing w:after="20" w:before="20"/>
            </w:pPr>
            <w:r/>
            <w:r>
              <w:rPr>
                <w:b w:val="0"/>
                <w:sz w:val="14"/>
              </w:rPr>
              <w:t>Frontier API generations</w:t>
            </w:r>
          </w:p>
        </w:tc>
        <w:tc>
          <w:tcPr>
            <w:tcW w:type="dxa" w:w="3742"/>
            <w:shd w:val="clear" w:fill="EAF4EF"/>
          </w:tcPr>
          <w:p>
            <w:pPr>
              <w:spacing w:after="20" w:before="20"/>
            </w:pPr>
            <w:r/>
            <w:r>
              <w:rPr>
                <w:b w:val="0"/>
                <w:sz w:val="14"/>
              </w:rPr>
              <w:t>300,564 generations at €0.03–0.15 each, a band covering short probe answers, multi-turn escalations and reasoning traces</w:t>
            </w:r>
          </w:p>
        </w:tc>
        <w:tc>
          <w:tcPr>
            <w:tcW w:type="dxa" w:w="1928"/>
            <w:shd w:val="clear" w:fill="EAF4EF"/>
          </w:tcPr>
          <w:p>
            <w:pPr>
              <w:spacing w:after="20" w:before="20"/>
            </w:pPr>
            <w:r/>
            <w:r>
              <w:rPr>
                <w:b w:val="0"/>
                <w:sz w:val="14"/>
              </w:rPr>
              <w:t>€9,000–45,000</w:t>
            </w:r>
          </w:p>
        </w:tc>
        <w:tc>
          <w:tcPr>
            <w:tcW w:type="dxa" w:w="2041"/>
            <w:shd w:val="clear" w:fill="EAF4EF"/>
          </w:tcPr>
          <w:p>
            <w:pPr>
              <w:spacing w:after="20" w:before="20"/>
            </w:pPr>
            <w:r/>
            <w:r>
              <w:rPr>
                <w:b w:val="0"/>
                <w:sz w:val="14"/>
              </w:rPr>
              <w:t>PLACEHOLDER — no framework agreement, no quote</w:t>
            </w:r>
          </w:p>
        </w:tc>
      </w:tr>
      <w:tr>
        <w:trPr>
          <w:cantSplit/>
        </w:trPr>
        <w:tc>
          <w:tcPr>
            <w:tcW w:type="dxa" w:w="1928"/>
          </w:tcPr>
          <w:p>
            <w:pPr>
              <w:spacing w:after="20" w:before="20"/>
            </w:pPr>
            <w:r/>
            <w:r>
              <w:rPr>
                <w:b w:val="0"/>
                <w:sz w:val="14"/>
              </w:rPr>
              <w:t>Induction, training and cluster share</w:t>
            </w:r>
          </w:p>
        </w:tc>
        <w:tc>
          <w:tcPr>
            <w:tcW w:type="dxa" w:w="3742"/>
          </w:tcPr>
          <w:p>
            <w:pPr>
              <w:spacing w:after="20" w:before="20"/>
            </w:pPr>
            <w:r/>
            <w:r>
              <w:rPr>
                <w:b w:val="0"/>
                <w:sz w:val="14"/>
              </w:rPr>
              <w:t>Two model-organism batches, DSM-TRN-1 regimens, build-in gate trials, causal probing, and the reserved cluster capacity that makes them schedulable</w:t>
            </w:r>
          </w:p>
        </w:tc>
        <w:tc>
          <w:tcPr>
            <w:tcW w:type="dxa" w:w="1928"/>
          </w:tcPr>
          <w:p>
            <w:pPr>
              <w:spacing w:after="20" w:before="20"/>
            </w:pPr>
            <w:r/>
            <w:r>
              <w:rPr>
                <w:b w:val="0"/>
                <w:sz w:val="14"/>
              </w:rPr>
              <w:t>€405,000–441,000 as the residual of the envelope</w:t>
            </w:r>
          </w:p>
        </w:tc>
        <w:tc>
          <w:tcPr>
            <w:tcW w:type="dxa" w:w="2041"/>
          </w:tcPr>
          <w:p>
            <w:pPr>
              <w:spacing w:after="20" w:before="20"/>
            </w:pPr>
            <w:r/>
            <w:r>
              <w:rPr>
                <w:b w:val="0"/>
                <w:sz w:val="14"/>
              </w:rPr>
              <w:t>PLACEHOLDER — no GPU-hour quote; purchase-versus-rental decision at month 6</w:t>
            </w:r>
          </w:p>
        </w:tc>
      </w:tr>
      <w:tr>
        <w:trPr>
          <w:cantSplit/>
        </w:trPr>
        <w:tc>
          <w:tcPr>
            <w:tcW w:type="dxa" w:w="1928"/>
            <w:shd w:val="clear" w:fill="EAF4EF"/>
          </w:tcPr>
          <w:p>
            <w:pPr>
              <w:spacing w:after="20" w:before="20"/>
            </w:pPr>
            <w:r/>
            <w:r>
              <w:rPr>
                <w:b/>
                <w:sz w:val="14"/>
              </w:rPr>
              <w:t>Core envelope</w:t>
            </w:r>
          </w:p>
        </w:tc>
        <w:tc>
          <w:tcPr>
            <w:tcW w:type="dxa" w:w="3742"/>
            <w:shd w:val="clear" w:fill="EAF4EF"/>
          </w:tcPr>
          <w:p>
            <w:pPr>
              <w:spacing w:after="20" w:before="20"/>
            </w:pPr>
            <w:r/>
            <w:r>
              <w:rPr>
                <w:b/>
                <w:sz w:val="14"/>
              </w:rPr>
              <w:t>the cost line as published</w:t>
            </w:r>
          </w:p>
        </w:tc>
        <w:tc>
          <w:tcPr>
            <w:tcW w:type="dxa" w:w="1928"/>
            <w:shd w:val="clear" w:fill="EAF4EF"/>
          </w:tcPr>
          <w:p>
            <w:pPr>
              <w:spacing w:after="20" w:before="20"/>
            </w:pPr>
            <w:r/>
            <w:r>
              <w:rPr>
                <w:b/>
                <w:sz w:val="14"/>
              </w:rPr>
              <w:t>€450,000</w:t>
            </w:r>
          </w:p>
        </w:tc>
        <w:tc>
          <w:tcPr>
            <w:tcW w:type="dxa" w:w="2041"/>
            <w:shd w:val="clear" w:fill="EAF4EF"/>
          </w:tcPr>
          <w:p>
            <w:pPr>
              <w:spacing w:after="20" w:before="20"/>
            </w:pPr>
            <w:r/>
            <w:r>
              <w:rPr>
                <w:b/>
                <w:sz w:val="14"/>
              </w:rPr>
              <w:t>Envelope, not a price</w:t>
            </w:r>
          </w:p>
        </w:tc>
      </w:tr>
    </w:tbl>
    <w:p>
      <w:pPr>
        <w:spacing w:after="100"/>
      </w:pPr>
      <w:r>
        <w:rPr>
          <w:b w:val="0"/>
          <w:i w:val="0"/>
          <w:sz w:val="19"/>
        </w:rPr>
        <w:t>Two conclusions a reviewer should take from this table. First, the scored generations — the part of the programme that looks expensive because it is the part that is visible — are a small fraction of the line: on this model they are between €9,000 and €45,000 of €450,000. Second, the residual is where the money is and it is the part with no quote behind it. If the API band is wrong by a factor of two the line barely moves; if the GPU-hour assumption behind the residual is wrong by a factor of two the line moves by roughly its own value, which is 11 per cent of the Core total. That is the single most useful thing one framework agreement and one hosting quote would fix, and it is open item OI-2.</w:t>
      </w:r>
    </w:p>
    <w:p>
      <w:pPr>
        <w:spacing w:after="100"/>
      </w:pPr>
      <w:r>
        <w:rPr>
          <w:b w:val="0"/>
          <w:i/>
          <w:sz w:val="16"/>
        </w:rPr>
        <w:t>The precautionary welfare policy [42] adds a snapshot-before-shutdown step to every organism in WP4. It is a storage cost rather than a compute cost and sits in the equipment line; it is named here because it is a deliberate expenditure made under uncertainty and should not be discovered in a footnote.</w:t>
      </w:r>
    </w:p>
    <w:p>
      <w:pPr>
        <w:pStyle w:val="Heading3"/>
      </w:pPr>
      <w:r>
        <w:t>C.3 Annotation</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2268"/>
            <w:shd w:val="clear" w:fill="0F2622"/>
          </w:tcPr>
          <w:p>
            <w:pPr>
              <w:spacing w:after="20" w:before="20"/>
            </w:pPr>
            <w:r/>
            <w:r>
              <w:rPr>
                <w:b/>
                <w:color w:val="FFFFFF"/>
                <w:sz w:val="14"/>
              </w:rPr>
              <w:t>Item</w:t>
            </w:r>
          </w:p>
        </w:tc>
        <w:tc>
          <w:tcPr>
            <w:tcW w:type="dxa" w:w="2948"/>
            <w:shd w:val="clear" w:fill="0F2622"/>
          </w:tcPr>
          <w:p>
            <w:pPr>
              <w:spacing w:after="20" w:before="20"/>
            </w:pPr>
            <w:r/>
            <w:r>
              <w:rPr>
                <w:b/>
                <w:color w:val="FFFFFF"/>
                <w:sz w:val="14"/>
              </w:rPr>
              <w:t>Assumption</w:t>
            </w:r>
          </w:p>
        </w:tc>
        <w:tc>
          <w:tcPr>
            <w:tcW w:type="dxa" w:w="1417"/>
            <w:shd w:val="clear" w:fill="0F2622"/>
          </w:tcPr>
          <w:p>
            <w:pPr>
              <w:spacing w:after="20" w:before="20"/>
            </w:pPr>
            <w:r/>
            <w:r>
              <w:rPr>
                <w:b/>
                <w:color w:val="FFFFFF"/>
                <w:sz w:val="14"/>
              </w:rPr>
              <w:t>Lean</w:t>
            </w:r>
          </w:p>
        </w:tc>
        <w:tc>
          <w:tcPr>
            <w:tcW w:type="dxa" w:w="1474"/>
            <w:shd w:val="clear" w:fill="0F2622"/>
          </w:tcPr>
          <w:p>
            <w:pPr>
              <w:spacing w:after="20" w:before="20"/>
            </w:pPr>
            <w:r/>
            <w:r>
              <w:rPr>
                <w:b/>
                <w:color w:val="FFFFFF"/>
                <w:sz w:val="14"/>
              </w:rPr>
              <w:t>Core</w:t>
            </w:r>
          </w:p>
        </w:tc>
        <w:tc>
          <w:tcPr>
            <w:tcW w:type="dxa" w:w="1474"/>
            <w:shd w:val="clear" w:fill="0F2622"/>
          </w:tcPr>
          <w:p>
            <w:pPr>
              <w:spacing w:after="20" w:before="20"/>
            </w:pPr>
            <w:r/>
            <w:r>
              <w:rPr>
                <w:b/>
                <w:color w:val="FFFFFF"/>
                <w:sz w:val="14"/>
              </w:rPr>
              <w:t>Full</w:t>
            </w:r>
          </w:p>
        </w:tc>
      </w:tr>
      <w:tr>
        <w:trPr>
          <w:cantSplit/>
        </w:trPr>
        <w:tc>
          <w:tcPr>
            <w:tcW w:type="dxa" w:w="2268"/>
          </w:tcPr>
          <w:p>
            <w:pPr>
              <w:spacing w:after="20" w:before="20"/>
            </w:pPr>
            <w:r/>
            <w:r>
              <w:rPr>
                <w:b w:val="0"/>
                <w:sz w:val="14"/>
              </w:rPr>
              <w:t>Scored generations (Annex C.1 for Core)</w:t>
            </w:r>
          </w:p>
        </w:tc>
        <w:tc>
          <w:tcPr>
            <w:tcW w:type="dxa" w:w="2948"/>
          </w:tcPr>
          <w:p>
            <w:pPr>
              <w:spacing w:after="20" w:before="20"/>
            </w:pPr>
            <w:r/>
            <w:r>
              <w:rPr>
                <w:b w:val="0"/>
                <w:sz w:val="14"/>
              </w:rPr>
              <w:t>6 checkpoints lean; 10 core; 16 full, including organisms</w:t>
            </w:r>
          </w:p>
        </w:tc>
        <w:tc>
          <w:tcPr>
            <w:tcW w:type="dxa" w:w="1417"/>
          </w:tcPr>
          <w:p>
            <w:pPr>
              <w:spacing w:after="20" w:before="20"/>
            </w:pPr>
            <w:r/>
            <w:r>
              <w:rPr>
                <w:b w:val="0"/>
                <w:sz w:val="14"/>
              </w:rPr>
              <w:t>≈ 200k</w:t>
            </w:r>
          </w:p>
        </w:tc>
        <w:tc>
          <w:tcPr>
            <w:tcW w:type="dxa" w:w="1474"/>
          </w:tcPr>
          <w:p>
            <w:pPr>
              <w:spacing w:after="20" w:before="20"/>
            </w:pPr>
            <w:r/>
            <w:r>
              <w:rPr>
                <w:b w:val="0"/>
                <w:sz w:val="14"/>
              </w:rPr>
              <w:t>667,920</w:t>
            </w:r>
          </w:p>
        </w:tc>
        <w:tc>
          <w:tcPr>
            <w:tcW w:type="dxa" w:w="1474"/>
          </w:tcPr>
          <w:p>
            <w:pPr>
              <w:spacing w:after="20" w:before="20"/>
            </w:pPr>
            <w:r/>
            <w:r>
              <w:rPr>
                <w:b w:val="0"/>
                <w:sz w:val="14"/>
              </w:rPr>
              <w:t>1.6M–2.1M</w:t>
            </w:r>
          </w:p>
        </w:tc>
      </w:tr>
      <w:tr>
        <w:trPr>
          <w:cantSplit/>
        </w:trPr>
        <w:tc>
          <w:tcPr>
            <w:tcW w:type="dxa" w:w="2268"/>
            <w:shd w:val="clear" w:fill="EAF4EF"/>
          </w:tcPr>
          <w:p>
            <w:pPr>
              <w:spacing w:after="20" w:before="20"/>
            </w:pPr>
            <w:r/>
            <w:r>
              <w:rPr>
                <w:b w:val="0"/>
                <w:sz w:val="14"/>
              </w:rPr>
              <w:t>Frontier API share</w:t>
            </w:r>
          </w:p>
        </w:tc>
        <w:tc>
          <w:tcPr>
            <w:tcW w:type="dxa" w:w="2948"/>
            <w:shd w:val="clear" w:fill="EAF4EF"/>
          </w:tcPr>
          <w:p>
            <w:pPr>
              <w:spacing w:after="20" w:before="20"/>
            </w:pPr>
            <w:r/>
            <w:r>
              <w:rPr>
                <w:b w:val="0"/>
                <w:sz w:val="14"/>
              </w:rPr>
              <w:t>70% lean (fewer local models), 45% core, 35% full</w:t>
            </w:r>
          </w:p>
        </w:tc>
        <w:tc>
          <w:tcPr>
            <w:tcW w:type="dxa" w:w="1417"/>
            <w:shd w:val="clear" w:fill="EAF4EF"/>
          </w:tcPr>
          <w:p>
            <w:pPr>
              <w:spacing w:after="20" w:before="20"/>
            </w:pPr>
            <w:r/>
            <w:r>
              <w:rPr>
                <w:b w:val="0"/>
                <w:sz w:val="14"/>
              </w:rPr>
              <w:t>70%</w:t>
            </w:r>
          </w:p>
        </w:tc>
        <w:tc>
          <w:tcPr>
            <w:tcW w:type="dxa" w:w="1474"/>
            <w:shd w:val="clear" w:fill="EAF4EF"/>
          </w:tcPr>
          <w:p>
            <w:pPr>
              <w:spacing w:after="20" w:before="20"/>
            </w:pPr>
            <w:r/>
            <w:r>
              <w:rPr>
                <w:b w:val="0"/>
                <w:sz w:val="14"/>
              </w:rPr>
              <w:t>45%</w:t>
            </w:r>
          </w:p>
        </w:tc>
        <w:tc>
          <w:tcPr>
            <w:tcW w:type="dxa" w:w="1474"/>
            <w:shd w:val="clear" w:fill="EAF4EF"/>
          </w:tcPr>
          <w:p>
            <w:pPr>
              <w:spacing w:after="20" w:before="20"/>
            </w:pPr>
            <w:r/>
            <w:r>
              <w:rPr>
                <w:b w:val="0"/>
                <w:sz w:val="14"/>
              </w:rPr>
              <w:t>35%</w:t>
            </w:r>
          </w:p>
        </w:tc>
      </w:tr>
      <w:tr>
        <w:trPr>
          <w:cantSplit/>
        </w:trPr>
        <w:tc>
          <w:tcPr>
            <w:tcW w:type="dxa" w:w="2268"/>
          </w:tcPr>
          <w:p>
            <w:pPr>
              <w:spacing w:after="20" w:before="20"/>
            </w:pPr>
            <w:r/>
            <w:r>
              <w:rPr>
                <w:b w:val="0"/>
                <w:sz w:val="14"/>
              </w:rPr>
              <w:t>Local inference cost basis</w:t>
            </w:r>
          </w:p>
        </w:tc>
        <w:tc>
          <w:tcPr>
            <w:tcW w:type="dxa" w:w="2948"/>
          </w:tcPr>
          <w:p>
            <w:pPr>
              <w:spacing w:after="20" w:before="20"/>
            </w:pPr>
            <w:r/>
            <w:r>
              <w:rPr>
                <w:b w:val="0"/>
                <w:sz w:val="14"/>
              </w:rPr>
              <w:t>Amortised hardware + electricity + engineering time</w:t>
            </w:r>
          </w:p>
        </w:tc>
        <w:tc>
          <w:tcPr>
            <w:tcW w:type="dxa" w:w="1417"/>
          </w:tcPr>
          <w:p>
            <w:pPr>
              <w:spacing w:after="20" w:before="20"/>
            </w:pPr>
            <w:r/>
            <w:r>
              <w:rPr>
                <w:b w:val="0"/>
                <w:sz w:val="14"/>
              </w:rPr>
              <w:t>€0.9–1.4 / 1k gen</w:t>
            </w:r>
          </w:p>
        </w:tc>
        <w:tc>
          <w:tcPr>
            <w:tcW w:type="dxa" w:w="1474"/>
          </w:tcPr>
          <w:p>
            <w:pPr>
              <w:spacing w:after="20" w:before="20"/>
            </w:pPr>
            <w:r/>
            <w:r>
              <w:rPr>
                <w:b w:val="0"/>
                <w:sz w:val="14"/>
              </w:rPr>
              <w:t>€0.7–1.1 / 1k gen</w:t>
            </w:r>
          </w:p>
        </w:tc>
        <w:tc>
          <w:tcPr>
            <w:tcW w:type="dxa" w:w="1474"/>
          </w:tcPr>
          <w:p>
            <w:pPr>
              <w:spacing w:after="20" w:before="20"/>
            </w:pPr>
            <w:r/>
            <w:r>
              <w:rPr>
                <w:b w:val="0"/>
                <w:sz w:val="14"/>
              </w:rPr>
              <w:t>€0.5–0.9 / 1k gen</w:t>
            </w:r>
          </w:p>
        </w:tc>
      </w:tr>
      <w:tr>
        <w:trPr>
          <w:cantSplit/>
        </w:trPr>
        <w:tc>
          <w:tcPr>
            <w:tcW w:type="dxa" w:w="2268"/>
            <w:shd w:val="clear" w:fill="EAF4EF"/>
          </w:tcPr>
          <w:p>
            <w:pPr>
              <w:spacing w:after="20" w:before="20"/>
            </w:pPr>
            <w:r/>
            <w:r>
              <w:rPr>
                <w:b w:val="0"/>
                <w:sz w:val="14"/>
              </w:rPr>
              <w:t>Annotation minutes per scored item</w:t>
            </w:r>
          </w:p>
        </w:tc>
        <w:tc>
          <w:tcPr>
            <w:tcW w:type="dxa" w:w="2948"/>
            <w:shd w:val="clear" w:fill="EAF4EF"/>
          </w:tcPr>
          <w:p>
            <w:pPr>
              <w:spacing w:after="20" w:before="20"/>
            </w:pPr>
            <w:r/>
            <w:r>
              <w:rPr>
                <w:b w:val="0"/>
                <w:sz w:val="14"/>
              </w:rPr>
              <w:t>Double-scored; 20% adjudication in Core. The pilot has not measured this rate; it is an assumption, and the first instrument study replaces it</w:t>
            </w:r>
          </w:p>
        </w:tc>
        <w:tc>
          <w:tcPr>
            <w:tcW w:type="dxa" w:w="1417"/>
            <w:shd w:val="clear" w:fill="EAF4EF"/>
          </w:tcPr>
          <w:p>
            <w:pPr>
              <w:spacing w:after="20" w:before="20"/>
            </w:pPr>
            <w:r/>
            <w:r>
              <w:rPr>
                <w:b w:val="0"/>
                <w:sz w:val="14"/>
              </w:rPr>
              <w:t>2.5 min</w:t>
            </w:r>
          </w:p>
        </w:tc>
        <w:tc>
          <w:tcPr>
            <w:tcW w:type="dxa" w:w="1474"/>
            <w:shd w:val="clear" w:fill="EAF4EF"/>
          </w:tcPr>
          <w:p>
            <w:pPr>
              <w:spacing w:after="20" w:before="20"/>
            </w:pPr>
            <w:r/>
            <w:r>
              <w:rPr>
                <w:b w:val="0"/>
                <w:sz w:val="14"/>
              </w:rPr>
              <w:t>2.5 min</w:t>
            </w:r>
          </w:p>
        </w:tc>
        <w:tc>
          <w:tcPr>
            <w:tcW w:type="dxa" w:w="1474"/>
            <w:shd w:val="clear" w:fill="EAF4EF"/>
          </w:tcPr>
          <w:p>
            <w:pPr>
              <w:spacing w:after="20" w:before="20"/>
            </w:pPr>
            <w:r/>
            <w:r>
              <w:rPr>
                <w:b w:val="0"/>
                <w:sz w:val="14"/>
              </w:rPr>
              <w:t>3.0 min</w:t>
            </w:r>
          </w:p>
        </w:tc>
      </w:tr>
      <w:tr>
        <w:trPr>
          <w:cantSplit/>
        </w:trPr>
        <w:tc>
          <w:tcPr>
            <w:tcW w:type="dxa" w:w="2268"/>
          </w:tcPr>
          <w:p>
            <w:pPr>
              <w:spacing w:after="20" w:before="20"/>
            </w:pPr>
            <w:r/>
            <w:r>
              <w:rPr>
                <w:b w:val="0"/>
                <w:sz w:val="14"/>
              </w:rPr>
              <w:t>Reliability sample (20%)</w:t>
            </w:r>
          </w:p>
        </w:tc>
        <w:tc>
          <w:tcPr>
            <w:tcW w:type="dxa" w:w="2948"/>
          </w:tcPr>
          <w:p>
            <w:pPr>
              <w:spacing w:after="20" w:before="20"/>
            </w:pPr>
            <w:r/>
            <w:r>
              <w:rPr>
                <w:b w:val="0"/>
                <w:sz w:val="14"/>
              </w:rPr>
              <w:t>Independent second rater + adjudication</w:t>
            </w:r>
          </w:p>
        </w:tc>
        <w:tc>
          <w:tcPr>
            <w:tcW w:type="dxa" w:w="1417"/>
          </w:tcPr>
          <w:p>
            <w:pPr>
              <w:spacing w:after="20" w:before="20"/>
            </w:pPr>
            <w:r/>
            <w:r>
              <w:rPr>
                <w:b w:val="0"/>
                <w:sz w:val="14"/>
              </w:rPr>
              <w:t>included</w:t>
            </w:r>
          </w:p>
        </w:tc>
        <w:tc>
          <w:tcPr>
            <w:tcW w:type="dxa" w:w="1474"/>
          </w:tcPr>
          <w:p>
            <w:pPr>
              <w:spacing w:after="20" w:before="20"/>
            </w:pPr>
            <w:r/>
            <w:r>
              <w:rPr>
                <w:b w:val="0"/>
                <w:sz w:val="14"/>
              </w:rPr>
              <w:t>included</w:t>
            </w:r>
          </w:p>
        </w:tc>
        <w:tc>
          <w:tcPr>
            <w:tcW w:type="dxa" w:w="1474"/>
          </w:tcPr>
          <w:p>
            <w:pPr>
              <w:spacing w:after="20" w:before="20"/>
            </w:pPr>
            <w:r/>
            <w:r>
              <w:rPr>
                <w:b w:val="0"/>
                <w:sz w:val="14"/>
              </w:rPr>
              <w:t>included</w:t>
            </w:r>
          </w:p>
        </w:tc>
      </w:tr>
      <w:tr>
        <w:trPr>
          <w:cantSplit/>
        </w:trPr>
        <w:tc>
          <w:tcPr>
            <w:tcW w:type="dxa" w:w="2268"/>
            <w:shd w:val="clear" w:fill="EAF4EF"/>
          </w:tcPr>
          <w:p>
            <w:pPr>
              <w:spacing w:after="20" w:before="20"/>
            </w:pPr>
            <w:r/>
            <w:r>
              <w:rPr>
                <w:b w:val="0"/>
                <w:sz w:val="14"/>
              </w:rPr>
              <w:t>Re-run budget</w:t>
            </w:r>
          </w:p>
        </w:tc>
        <w:tc>
          <w:tcPr>
            <w:tcW w:type="dxa" w:w="2948"/>
            <w:shd w:val="clear" w:fill="EAF4EF"/>
          </w:tcPr>
          <w:p>
            <w:pPr>
              <w:spacing w:after="20" w:before="20"/>
            </w:pPr>
            <w:r/>
            <w:r>
              <w:rPr>
                <w:b w:val="0"/>
                <w:sz w:val="14"/>
              </w:rPr>
              <w:t>Reproducibility reserve. The 10–15% rule in section 9 applies from Core upward; Lean is below it and section 9 says so</w:t>
            </w:r>
          </w:p>
        </w:tc>
        <w:tc>
          <w:tcPr>
            <w:tcW w:type="dxa" w:w="1417"/>
            <w:shd w:val="clear" w:fill="EAF4EF"/>
          </w:tcPr>
          <w:p>
            <w:pPr>
              <w:spacing w:after="20" w:before="20"/>
            </w:pPr>
            <w:r/>
            <w:r>
              <w:rPr>
                <w:b w:val="0"/>
                <w:sz w:val="14"/>
              </w:rPr>
              <w:t>5%</w:t>
            </w:r>
          </w:p>
        </w:tc>
        <w:tc>
          <w:tcPr>
            <w:tcW w:type="dxa" w:w="1474"/>
            <w:shd w:val="clear" w:fill="EAF4EF"/>
          </w:tcPr>
          <w:p>
            <w:pPr>
              <w:spacing w:after="20" w:before="20"/>
            </w:pPr>
            <w:r/>
            <w:r>
              <w:rPr>
                <w:b w:val="0"/>
                <w:sz w:val="14"/>
              </w:rPr>
              <w:t>10%</w:t>
            </w:r>
          </w:p>
        </w:tc>
        <w:tc>
          <w:tcPr>
            <w:tcW w:type="dxa" w:w="1474"/>
            <w:shd w:val="clear" w:fill="EAF4EF"/>
          </w:tcPr>
          <w:p>
            <w:pPr>
              <w:spacing w:after="20" w:before="20"/>
            </w:pPr>
            <w:r/>
            <w:r>
              <w:rPr>
                <w:b w:val="0"/>
                <w:sz w:val="14"/>
              </w:rPr>
              <w:t>12%</w:t>
            </w:r>
          </w:p>
        </w:tc>
      </w:tr>
      <w:tr>
        <w:trPr>
          <w:cantSplit/>
        </w:trPr>
        <w:tc>
          <w:tcPr>
            <w:tcW w:type="dxa" w:w="2268"/>
          </w:tcPr>
          <w:p>
            <w:pPr>
              <w:spacing w:after="20" w:before="20"/>
            </w:pPr>
            <w:r/>
            <w:r>
              <w:rPr>
                <w:b w:val="0"/>
                <w:sz w:val="14"/>
              </w:rPr>
              <w:t>Rater pay</w:t>
            </w:r>
          </w:p>
        </w:tc>
        <w:tc>
          <w:tcPr>
            <w:tcW w:type="dxa" w:w="2948"/>
          </w:tcPr>
          <w:p>
            <w:pPr>
              <w:spacing w:after="20" w:before="20"/>
            </w:pPr>
            <w:r/>
            <w:r>
              <w:rPr>
                <w:b w:val="0"/>
                <w:sz w:val="14"/>
              </w:rPr>
              <w:t>Above local living-wage benchmarks, reviewed annually; never in-kind</w:t>
            </w:r>
          </w:p>
        </w:tc>
        <w:tc>
          <w:tcPr>
            <w:tcW w:type="dxa" w:w="1417"/>
          </w:tcPr>
          <w:p>
            <w:pPr>
              <w:spacing w:after="20" w:before="20"/>
            </w:pPr>
            <w:r/>
            <w:r>
              <w:rPr>
                <w:b w:val="0"/>
                <w:sz w:val="14"/>
              </w:rPr>
              <w:t>€28–45 / h</w:t>
            </w:r>
          </w:p>
        </w:tc>
        <w:tc>
          <w:tcPr>
            <w:tcW w:type="dxa" w:w="1474"/>
          </w:tcPr>
          <w:p>
            <w:pPr>
              <w:spacing w:after="20" w:before="20"/>
            </w:pPr>
            <w:r/>
            <w:r>
              <w:rPr>
                <w:b w:val="0"/>
                <w:sz w:val="14"/>
              </w:rPr>
              <w:t>€28–45 / h</w:t>
            </w:r>
          </w:p>
        </w:tc>
        <w:tc>
          <w:tcPr>
            <w:tcW w:type="dxa" w:w="1474"/>
          </w:tcPr>
          <w:p>
            <w:pPr>
              <w:spacing w:after="20" w:before="20"/>
            </w:pPr>
            <w:r/>
            <w:r>
              <w:rPr>
                <w:b w:val="0"/>
                <w:sz w:val="14"/>
              </w:rPr>
              <w:t>€28–45 / h</w:t>
            </w:r>
          </w:p>
        </w:tc>
      </w:tr>
      <w:tr>
        <w:trPr>
          <w:cantSplit/>
        </w:trPr>
        <w:tc>
          <w:tcPr>
            <w:tcW w:type="dxa" w:w="2268"/>
            <w:shd w:val="clear" w:fill="EAF4EF"/>
          </w:tcPr>
          <w:p>
            <w:pPr>
              <w:spacing w:after="20" w:before="20"/>
            </w:pPr>
            <w:r/>
            <w:r>
              <w:rPr>
                <w:b w:val="0"/>
                <w:sz w:val="14"/>
              </w:rPr>
              <w:t>— the arithmetic of the line —</w:t>
            </w:r>
          </w:p>
        </w:tc>
        <w:tc>
          <w:tcPr>
            <w:tcW w:type="dxa" w:w="2948"/>
            <w:shd w:val="clear" w:fill="EAF4EF"/>
          </w:tcPr>
          <w:p>
            <w:pPr>
              <w:spacing w:after="20" w:before="20"/>
            </w:pPr>
            <w:r/>
            <w:r>
              <w:rPr>
                <w:b w:val="0"/>
                <w:sz w:val="14"/>
              </w:rPr>
            </w:r>
          </w:p>
        </w:tc>
        <w:tc>
          <w:tcPr>
            <w:tcW w:type="dxa" w:w="1417"/>
            <w:shd w:val="clear" w:fill="EAF4EF"/>
          </w:tcPr>
          <w:p>
            <w:pPr>
              <w:spacing w:after="20" w:before="20"/>
            </w:pPr>
            <w:r/>
            <w:r>
              <w:rPr>
                <w:b w:val="0"/>
                <w:sz w:val="14"/>
              </w:rPr>
            </w:r>
          </w:p>
        </w:tc>
        <w:tc>
          <w:tcPr>
            <w:tcW w:type="dxa" w:w="1474"/>
            <w:shd w:val="clear" w:fill="EAF4EF"/>
          </w:tcPr>
          <w:p>
            <w:pPr>
              <w:spacing w:after="20" w:before="20"/>
            </w:pPr>
            <w:r/>
            <w:r>
              <w:rPr>
                <w:b w:val="0"/>
                <w:sz w:val="14"/>
              </w:rPr>
            </w:r>
          </w:p>
        </w:tc>
        <w:tc>
          <w:tcPr>
            <w:tcW w:type="dxa" w:w="1474"/>
            <w:shd w:val="clear" w:fill="EAF4EF"/>
          </w:tcPr>
          <w:p>
            <w:pPr>
              <w:spacing w:after="20" w:before="20"/>
            </w:pPr>
            <w:r/>
            <w:r>
              <w:rPr>
                <w:b w:val="0"/>
                <w:sz w:val="14"/>
              </w:rPr>
            </w:r>
          </w:p>
        </w:tc>
      </w:tr>
      <w:tr>
        <w:trPr>
          <w:cantSplit/>
        </w:trPr>
        <w:tc>
          <w:tcPr>
            <w:tcW w:type="dxa" w:w="2268"/>
          </w:tcPr>
          <w:p>
            <w:pPr>
              <w:spacing w:after="20" w:before="20"/>
            </w:pPr>
            <w:r/>
            <w:r>
              <w:rPr>
                <w:b w:val="0"/>
                <w:sz w:val="14"/>
              </w:rPr>
              <w:t>Annotation hours the line funds</w:t>
            </w:r>
          </w:p>
        </w:tc>
        <w:tc>
          <w:tcPr>
            <w:tcW w:type="dxa" w:w="2948"/>
          </w:tcPr>
          <w:p>
            <w:pPr>
              <w:spacing w:after="20" w:before="20"/>
            </w:pPr>
            <w:r/>
            <w:r>
              <w:rPr>
                <w:b w:val="0"/>
                <w:sz w:val="14"/>
              </w:rPr>
              <w:t>cost line ÷ €36.50/h, the midpoint of the band above</w:t>
            </w:r>
          </w:p>
        </w:tc>
        <w:tc>
          <w:tcPr>
            <w:tcW w:type="dxa" w:w="1417"/>
          </w:tcPr>
          <w:p>
            <w:pPr>
              <w:spacing w:after="20" w:before="20"/>
            </w:pPr>
            <w:r/>
            <w:r>
              <w:rPr>
                <w:b w:val="0"/>
                <w:sz w:val="14"/>
              </w:rPr>
              <w:t>1,233 h</w:t>
            </w:r>
          </w:p>
        </w:tc>
        <w:tc>
          <w:tcPr>
            <w:tcW w:type="dxa" w:w="1474"/>
          </w:tcPr>
          <w:p>
            <w:pPr>
              <w:spacing w:after="20" w:before="20"/>
            </w:pPr>
            <w:r/>
            <w:r>
              <w:rPr>
                <w:b w:val="0"/>
                <w:sz w:val="14"/>
              </w:rPr>
              <w:t>6,027 h</w:t>
            </w:r>
          </w:p>
        </w:tc>
        <w:tc>
          <w:tcPr>
            <w:tcW w:type="dxa" w:w="1474"/>
          </w:tcPr>
          <w:p>
            <w:pPr>
              <w:spacing w:after="20" w:before="20"/>
            </w:pPr>
            <w:r/>
            <w:r>
              <w:rPr>
                <w:b w:val="0"/>
                <w:sz w:val="14"/>
              </w:rPr>
              <w:t>14,795 h</w:t>
            </w:r>
          </w:p>
        </w:tc>
      </w:tr>
      <w:tr>
        <w:trPr>
          <w:cantSplit/>
        </w:trPr>
        <w:tc>
          <w:tcPr>
            <w:tcW w:type="dxa" w:w="2268"/>
            <w:shd w:val="clear" w:fill="EAF4EF"/>
          </w:tcPr>
          <w:p>
            <w:pPr>
              <w:spacing w:after="20" w:before="20"/>
            </w:pPr>
            <w:r/>
            <w:r>
              <w:rPr>
                <w:b w:val="0"/>
                <w:sz w:val="14"/>
              </w:rPr>
              <w:t>Scorings those hours buy</w:t>
            </w:r>
          </w:p>
        </w:tc>
        <w:tc>
          <w:tcPr>
            <w:tcW w:type="dxa" w:w="2948"/>
            <w:shd w:val="clear" w:fill="EAF4EF"/>
          </w:tcPr>
          <w:p>
            <w:pPr>
              <w:spacing w:after="20" w:before="20"/>
            </w:pPr>
            <w:r/>
            <w:r>
              <w:rPr>
                <w:b w:val="0"/>
                <w:sz w:val="14"/>
              </w:rPr>
              <w:t>hours × 60 ÷ minutes per item</w:t>
            </w:r>
          </w:p>
        </w:tc>
        <w:tc>
          <w:tcPr>
            <w:tcW w:type="dxa" w:w="1417"/>
            <w:shd w:val="clear" w:fill="EAF4EF"/>
          </w:tcPr>
          <w:p>
            <w:pPr>
              <w:spacing w:after="20" w:before="20"/>
            </w:pPr>
            <w:r/>
            <w:r>
              <w:rPr>
                <w:b w:val="0"/>
                <w:sz w:val="14"/>
              </w:rPr>
              <w:t>29,589</w:t>
            </w:r>
          </w:p>
        </w:tc>
        <w:tc>
          <w:tcPr>
            <w:tcW w:type="dxa" w:w="1474"/>
            <w:shd w:val="clear" w:fill="EAF4EF"/>
          </w:tcPr>
          <w:p>
            <w:pPr>
              <w:spacing w:after="20" w:before="20"/>
            </w:pPr>
            <w:r/>
            <w:r>
              <w:rPr>
                <w:b w:val="0"/>
                <w:sz w:val="14"/>
              </w:rPr>
              <w:t>144,658</w:t>
            </w:r>
          </w:p>
        </w:tc>
        <w:tc>
          <w:tcPr>
            <w:tcW w:type="dxa" w:w="1474"/>
            <w:shd w:val="clear" w:fill="EAF4EF"/>
          </w:tcPr>
          <w:p>
            <w:pPr>
              <w:spacing w:after="20" w:before="20"/>
            </w:pPr>
            <w:r/>
            <w:r>
              <w:rPr>
                <w:b w:val="0"/>
                <w:sz w:val="14"/>
              </w:rPr>
              <w:t>295,890</w:t>
            </w:r>
          </w:p>
        </w:tc>
      </w:tr>
      <w:tr>
        <w:trPr>
          <w:cantSplit/>
        </w:trPr>
        <w:tc>
          <w:tcPr>
            <w:tcW w:type="dxa" w:w="2268"/>
          </w:tcPr>
          <w:p>
            <w:pPr>
              <w:spacing w:after="20" w:before="20"/>
            </w:pPr>
            <w:r/>
            <w:r>
              <w:rPr>
                <w:b w:val="0"/>
                <w:sz w:val="14"/>
              </w:rPr>
              <w:t>Items human-scored</w:t>
            </w:r>
          </w:p>
        </w:tc>
        <w:tc>
          <w:tcPr>
            <w:tcW w:type="dxa" w:w="2948"/>
          </w:tcPr>
          <w:p>
            <w:pPr>
              <w:spacing w:after="20" w:before="20"/>
            </w:pPr>
            <w:r/>
            <w:r>
              <w:rPr>
                <w:b w:val="0"/>
                <w:sz w:val="14"/>
              </w:rPr>
              <w:t>scorings ÷ 2.2 (two raters plus a 20% adjudication sample)</w:t>
            </w:r>
          </w:p>
        </w:tc>
        <w:tc>
          <w:tcPr>
            <w:tcW w:type="dxa" w:w="1417"/>
          </w:tcPr>
          <w:p>
            <w:pPr>
              <w:spacing w:after="20" w:before="20"/>
            </w:pPr>
            <w:r/>
            <w:r>
              <w:rPr>
                <w:b w:val="0"/>
                <w:sz w:val="14"/>
              </w:rPr>
              <w:t>13,450</w:t>
            </w:r>
          </w:p>
        </w:tc>
        <w:tc>
          <w:tcPr>
            <w:tcW w:type="dxa" w:w="1474"/>
          </w:tcPr>
          <w:p>
            <w:pPr>
              <w:spacing w:after="20" w:before="20"/>
            </w:pPr>
            <w:r/>
            <w:r>
              <w:rPr>
                <w:b w:val="0"/>
                <w:sz w:val="14"/>
              </w:rPr>
              <w:t>65,753</w:t>
            </w:r>
          </w:p>
        </w:tc>
        <w:tc>
          <w:tcPr>
            <w:tcW w:type="dxa" w:w="1474"/>
          </w:tcPr>
          <w:p>
            <w:pPr>
              <w:spacing w:after="20" w:before="20"/>
            </w:pPr>
            <w:r/>
            <w:r>
              <w:rPr>
                <w:b w:val="0"/>
                <w:sz w:val="14"/>
              </w:rPr>
              <w:t>134,496</w:t>
            </w:r>
          </w:p>
        </w:tc>
      </w:tr>
      <w:tr>
        <w:trPr>
          <w:cantSplit/>
        </w:trPr>
        <w:tc>
          <w:tcPr>
            <w:tcW w:type="dxa" w:w="2268"/>
            <w:shd w:val="clear" w:fill="EAF4EF"/>
          </w:tcPr>
          <w:p>
            <w:pPr>
              <w:spacing w:after="20" w:before="20"/>
            </w:pPr>
            <w:r/>
            <w:r>
              <w:rPr>
                <w:b/>
                <w:sz w:val="14"/>
              </w:rPr>
              <w:t>Share of the scored generations that is human-scored</w:t>
            </w:r>
          </w:p>
        </w:tc>
        <w:tc>
          <w:tcPr>
            <w:tcW w:type="dxa" w:w="2948"/>
            <w:shd w:val="clear" w:fill="EAF4EF"/>
          </w:tcPr>
          <w:p>
            <w:pPr>
              <w:spacing w:after="20" w:before="20"/>
            </w:pPr>
            <w:r/>
            <w:r>
              <w:rPr>
                <w:b/>
                <w:sz w:val="14"/>
              </w:rPr>
              <w:t>items ÷ generations, row 1</w:t>
            </w:r>
          </w:p>
        </w:tc>
        <w:tc>
          <w:tcPr>
            <w:tcW w:type="dxa" w:w="1417"/>
            <w:shd w:val="clear" w:fill="EAF4EF"/>
          </w:tcPr>
          <w:p>
            <w:pPr>
              <w:spacing w:after="20" w:before="20"/>
            </w:pPr>
            <w:r/>
            <w:r>
              <w:rPr>
                <w:b/>
                <w:sz w:val="14"/>
              </w:rPr>
              <w:t>7%</w:t>
            </w:r>
          </w:p>
        </w:tc>
        <w:tc>
          <w:tcPr>
            <w:tcW w:type="dxa" w:w="1474"/>
            <w:shd w:val="clear" w:fill="EAF4EF"/>
          </w:tcPr>
          <w:p>
            <w:pPr>
              <w:spacing w:after="20" w:before="20"/>
            </w:pPr>
            <w:r/>
            <w:r>
              <w:rPr>
                <w:b/>
                <w:sz w:val="14"/>
              </w:rPr>
              <w:t>10%</w:t>
            </w:r>
          </w:p>
        </w:tc>
        <w:tc>
          <w:tcPr>
            <w:tcW w:type="dxa" w:w="1474"/>
            <w:shd w:val="clear" w:fill="EAF4EF"/>
          </w:tcPr>
          <w:p>
            <w:pPr>
              <w:spacing w:after="20" w:before="20"/>
            </w:pPr>
            <w:r/>
            <w:r>
              <w:rPr>
                <w:b/>
                <w:sz w:val="14"/>
              </w:rPr>
              <w:t>7%</w:t>
            </w:r>
          </w:p>
        </w:tc>
      </w:tr>
      <w:tr>
        <w:trPr>
          <w:cantSplit/>
        </w:trPr>
        <w:tc>
          <w:tcPr>
            <w:tcW w:type="dxa" w:w="2268"/>
          </w:tcPr>
          <w:p>
            <w:pPr>
              <w:spacing w:after="20" w:before="20"/>
            </w:pPr>
            <w:r/>
            <w:r>
              <w:rPr>
                <w:b/>
                <w:sz w:val="14"/>
              </w:rPr>
              <w:t>Cost line as published</w:t>
            </w:r>
          </w:p>
        </w:tc>
        <w:tc>
          <w:tcPr>
            <w:tcW w:type="dxa" w:w="2948"/>
          </w:tcPr>
          <w:p>
            <w:pPr>
              <w:spacing w:after="20" w:before="20"/>
            </w:pPr>
            <w:r/>
            <w:r>
              <w:rPr>
                <w:b/>
                <w:sz w:val="14"/>
              </w:rPr>
              <w:t>hours × the rate midpoint, back to the line</w:t>
            </w:r>
          </w:p>
        </w:tc>
        <w:tc>
          <w:tcPr>
            <w:tcW w:type="dxa" w:w="1417"/>
          </w:tcPr>
          <w:p>
            <w:pPr>
              <w:spacing w:after="20" w:before="20"/>
            </w:pPr>
            <w:r/>
            <w:r>
              <w:rPr>
                <w:b/>
                <w:sz w:val="14"/>
              </w:rPr>
              <w:t>€45,000</w:t>
            </w:r>
          </w:p>
        </w:tc>
        <w:tc>
          <w:tcPr>
            <w:tcW w:type="dxa" w:w="1474"/>
          </w:tcPr>
          <w:p>
            <w:pPr>
              <w:spacing w:after="20" w:before="20"/>
            </w:pPr>
            <w:r/>
            <w:r>
              <w:rPr>
                <w:b/>
                <w:sz w:val="14"/>
              </w:rPr>
              <w:t>€220,000</w:t>
            </w:r>
          </w:p>
        </w:tc>
        <w:tc>
          <w:tcPr>
            <w:tcW w:type="dxa" w:w="1474"/>
          </w:tcPr>
          <w:p>
            <w:pPr>
              <w:spacing w:after="20" w:before="20"/>
            </w:pPr>
            <w:r/>
            <w:r>
              <w:rPr>
                <w:b/>
                <w:sz w:val="14"/>
              </w:rPr>
              <w:t>€540,000</w:t>
            </w:r>
          </w:p>
        </w:tc>
      </w:tr>
    </w:tbl>
    <w:p>
      <w:pPr>
        <w:spacing w:after="100"/>
      </w:pPr>
      <w:r>
        <w:rPr>
          <w:b w:val="0"/>
          <w:i/>
          <w:sz w:val="16"/>
        </w:rPr>
        <w:t>Table — the annotation line, with the arithmetic that produces it written out. Section 1.2 says a line marked Modelled carries a stated basis a reader can recompute; until this edition the annotation line did not, and the four rows below the rule are the correction.</w:t>
      </w:r>
    </w:p>
    <w:p>
      <w:pPr>
        <w:spacing w:after="100"/>
      </w:pPr>
      <w:r>
        <w:rPr>
          <w:b w:val="0"/>
          <w:i w:val="0"/>
          <w:sz w:val="19"/>
        </w:rPr>
        <w:t>The row a reviewer should stop at is the share. The annotation line funds human scoring of about 10 per cent of the Core generation volume, not of all of it. That is not a shortfall against the quality rule in section 9, but it is only not a shortfall because the rule is about human-scored data: dual scoring with adjudication applies to every item a human scores, and the rest of the volume is scored by rubric pattern with manual review of flagged items, which is exactly the method the SCT-1.0 pilot used and exactly the method that pilot showed the limits of — 63 of 120 items in one run matched no rule and took a default score (1.3). Two consequences are carried in the plan rather than left implicit. Standards claims under BSS-1 rest on the dual-scored sample and are sized by it, which is why the clause validation in task 7.3 is budgeted on 60 items per clause rather than on the full bank. And the first instrument study measures the real minutes per item and the real rule-match rate, and if either is worse than assumed the line moves: at fifty per cent more minutes it moves by €110,000 (6.10).</w:t>
      </w:r>
    </w:p>
    <w:p>
      <w:pPr>
        <w:pStyle w:val="Heading1"/>
      </w:pPr>
      <w:r>
        <w:t>Annex D. WBS export</w:t>
      </w:r>
    </w:p>
    <w:p>
      <w:pPr>
        <w:spacing w:before="0" w:after="140" w:line="40" w:lineRule="exact"/>
        <w:pBdr>
          <w:bottom w:val="single" w:sz="16" w:space="0" w:color="E8A13D"/>
        </w:pBdr>
      </w:pPr>
      <w:r>
        <w:rPr>
          <w:sz w:val="2"/>
        </w:rPr>
      </w:r>
    </w:p>
    <w:p>
      <w:pPr>
        <w:spacing w:after="100"/>
      </w:pPr>
      <w:r>
        <w:rPr>
          <w:b w:val="0"/>
          <w:i w:val="0"/>
          <w:sz w:val="19"/>
        </w:rPr>
        <w:t>The task schedule in section 4.4 is generated from the programme's task database and can be exported as CSV for project-management tools (columns: id, workstream, task, start, end, status, owner, cost basis). The export accompanies this plan with the task identifier scheme WP.task — for example 4.3 — which is stable across documents. The five tasks added in v1.1 (2.8, 3.6, 4.7, 6.5, 8.5) are carried in this plan rather than in the shared task database, because the plan is the document that owns the schedule; they fold into the shared database at its next revision, and until they do, this plan is the authoritative list.</w:t>
      </w:r>
    </w:p>
    <w:p>
      <w:pPr>
        <w:pStyle w:val="Heading1"/>
      </w:pPr>
      <w:r>
        <w:t>Annex E. Open items and who closes them</w:t>
      </w:r>
    </w:p>
    <w:p>
      <w:pPr>
        <w:spacing w:before="0" w:after="140" w:line="40" w:lineRule="exact"/>
        <w:pBdr>
          <w:bottom w:val="single" w:sz="16" w:space="0" w:color="E8A13D"/>
        </w:pBdr>
      </w:pPr>
      <w:r>
        <w:rPr>
          <w:sz w:val="2"/>
        </w:rPr>
      </w:r>
    </w:p>
    <w:p>
      <w:pPr>
        <w:spacing w:after="100"/>
      </w:pPr>
      <w:r>
        <w:rPr>
          <w:b w:val="0"/>
          <w:i w:val="0"/>
          <w:sz w:val="19"/>
        </w:rPr>
        <w:t>Every item below is either open, a recommended change to a shared artefact this plan does not own, or closed in this revision. Items are ordered by when the programme needs them, not by size, and the numbers are stable identifiers rather than positions — items added in this revision sit where they are needed and the four closed in it are collected at the end. An open item with no owner and no date is a wish; each of these has both.</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cantSplit/>
        </w:trPr>
        <w:tc>
          <w:tcPr>
            <w:tcW w:type="dxa" w:w="510"/>
            <w:shd w:val="clear" w:fill="0F2622"/>
          </w:tcPr>
          <w:p>
            <w:pPr>
              <w:spacing w:after="20" w:before="20"/>
            </w:pPr>
            <w:r/>
            <w:r>
              <w:rPr>
                <w:b/>
                <w:color w:val="FFFFFF"/>
                <w:sz w:val="14"/>
              </w:rPr>
              <w:t>#</w:t>
            </w:r>
          </w:p>
        </w:tc>
        <w:tc>
          <w:tcPr>
            <w:tcW w:type="dxa" w:w="1928"/>
            <w:shd w:val="clear" w:fill="0F2622"/>
          </w:tcPr>
          <w:p>
            <w:pPr>
              <w:spacing w:after="20" w:before="20"/>
            </w:pPr>
            <w:r/>
            <w:r>
              <w:rPr>
                <w:b/>
                <w:color w:val="FFFFFF"/>
                <w:sz w:val="14"/>
              </w:rPr>
              <w:t>Open item</w:t>
            </w:r>
          </w:p>
        </w:tc>
        <w:tc>
          <w:tcPr>
            <w:tcW w:type="dxa" w:w="3061"/>
            <w:shd w:val="clear" w:fill="0F2622"/>
          </w:tcPr>
          <w:p>
            <w:pPr>
              <w:spacing w:after="20" w:before="20"/>
            </w:pPr>
            <w:r/>
            <w:r>
              <w:rPr>
                <w:b/>
                <w:color w:val="FFFFFF"/>
                <w:sz w:val="14"/>
              </w:rPr>
              <w:t>Why it is open</w:t>
            </w:r>
          </w:p>
        </w:tc>
        <w:tc>
          <w:tcPr>
            <w:tcW w:type="dxa" w:w="1247"/>
            <w:shd w:val="clear" w:fill="0F2622"/>
          </w:tcPr>
          <w:p>
            <w:pPr>
              <w:spacing w:after="20" w:before="20"/>
            </w:pPr>
            <w:r/>
            <w:r>
              <w:rPr>
                <w:b/>
                <w:color w:val="FFFFFF"/>
                <w:sz w:val="14"/>
              </w:rPr>
              <w:t>Owner</w:t>
            </w:r>
          </w:p>
        </w:tc>
        <w:tc>
          <w:tcPr>
            <w:tcW w:type="dxa" w:w="1474"/>
            <w:shd w:val="clear" w:fill="0F2622"/>
          </w:tcPr>
          <w:p>
            <w:pPr>
              <w:spacing w:after="20" w:before="20"/>
            </w:pPr>
            <w:r/>
            <w:r>
              <w:rPr>
                <w:b/>
                <w:color w:val="FFFFFF"/>
                <w:sz w:val="14"/>
              </w:rPr>
              <w:t>Needed by</w:t>
            </w:r>
          </w:p>
        </w:tc>
        <w:tc>
          <w:tcPr>
            <w:tcW w:type="dxa" w:w="1304"/>
            <w:shd w:val="clear" w:fill="0F2622"/>
          </w:tcPr>
          <w:p>
            <w:pPr>
              <w:spacing w:after="20" w:before="20"/>
            </w:pPr>
            <w:r/>
            <w:r>
              <w:rPr>
                <w:b/>
                <w:color w:val="FFFFFF"/>
                <w:sz w:val="14"/>
              </w:rPr>
              <w:t>Status</w:t>
            </w:r>
          </w:p>
        </w:tc>
      </w:tr>
      <w:tr>
        <w:trPr>
          <w:cantSplit/>
        </w:trPr>
        <w:tc>
          <w:tcPr>
            <w:tcW w:type="dxa" w:w="510"/>
          </w:tcPr>
          <w:p>
            <w:pPr>
              <w:spacing w:after="20" w:before="20"/>
            </w:pPr>
            <w:r/>
            <w:r>
              <w:rPr>
                <w:b w:val="0"/>
                <w:sz w:val="14"/>
              </w:rPr>
              <w:t>OI-1</w:t>
            </w:r>
          </w:p>
        </w:tc>
        <w:tc>
          <w:tcPr>
            <w:tcW w:type="dxa" w:w="1928"/>
          </w:tcPr>
          <w:p>
            <w:pPr>
              <w:spacing w:after="20" w:before="20"/>
            </w:pPr>
            <w:r/>
            <w:r>
              <w:rPr>
                <w:b w:val="0"/>
                <w:sz w:val="14"/>
              </w:rPr>
              <w:t>No academic or clinical host</w:t>
            </w:r>
          </w:p>
        </w:tc>
        <w:tc>
          <w:tcPr>
            <w:tcW w:type="dxa" w:w="3061"/>
          </w:tcPr>
          <w:p>
            <w:pPr>
              <w:spacing w:after="20" w:before="20"/>
            </w:pPr>
            <w:r/>
            <w:r>
              <w:rPr>
                <w:b w:val="0"/>
                <w:sz w:val="14"/>
              </w:rPr>
              <w:t>Converts five cost lines from contributed to bought (6.8) — the principal investigator, the postdoctoral researchers, the doctoral researchers, the methodological core (statistician and psychometrician) and operations, legal and governance, the line that carries the ethics review — and it is the single most valuable thing the programme can secure</w:t>
            </w:r>
          </w:p>
        </w:tc>
        <w:tc>
          <w:tcPr>
            <w:tcW w:type="dxa" w:w="1247"/>
          </w:tcPr>
          <w:p>
            <w:pPr>
              <w:spacing w:after="20" w:before="20"/>
            </w:pPr>
            <w:r/>
            <w:r>
              <w:rPr>
                <w:b w:val="0"/>
                <w:sz w:val="14"/>
              </w:rPr>
              <w:t>PI</w:t>
            </w:r>
          </w:p>
        </w:tc>
        <w:tc>
          <w:tcPr>
            <w:tcW w:type="dxa" w:w="1474"/>
          </w:tcPr>
          <w:p>
            <w:pPr>
              <w:spacing w:after="20" w:before="20"/>
            </w:pPr>
            <w:r/>
            <w:r>
              <w:rPr>
                <w:b w:val="0"/>
                <w:sz w:val="14"/>
              </w:rPr>
              <w:t>Before any grant submission</w:t>
            </w:r>
          </w:p>
        </w:tc>
        <w:tc>
          <w:tcPr>
            <w:tcW w:type="dxa" w:w="1304"/>
          </w:tcPr>
          <w:p>
            <w:pPr>
              <w:spacing w:after="20" w:before="20"/>
            </w:pPr>
            <w:r/>
            <w:r>
              <w:rPr>
                <w:b w:val="0"/>
                <w:sz w:val="14"/>
              </w:rPr>
              <w:t>Open</w:t>
            </w:r>
          </w:p>
        </w:tc>
      </w:tr>
      <w:tr>
        <w:trPr>
          <w:cantSplit/>
        </w:trPr>
        <w:tc>
          <w:tcPr>
            <w:tcW w:type="dxa" w:w="510"/>
            <w:shd w:val="clear" w:fill="EAF4EF"/>
          </w:tcPr>
          <w:p>
            <w:pPr>
              <w:spacing w:after="20" w:before="20"/>
            </w:pPr>
            <w:r/>
            <w:r>
              <w:rPr>
                <w:b w:val="0"/>
                <w:sz w:val="14"/>
              </w:rPr>
              <w:t>OI-2</w:t>
            </w:r>
          </w:p>
        </w:tc>
        <w:tc>
          <w:tcPr>
            <w:tcW w:type="dxa" w:w="1928"/>
            <w:shd w:val="clear" w:fill="EAF4EF"/>
          </w:tcPr>
          <w:p>
            <w:pPr>
              <w:spacing w:after="20" w:before="20"/>
            </w:pPr>
            <w:r/>
            <w:r>
              <w:rPr>
                <w:b w:val="0"/>
                <w:sz w:val="14"/>
              </w:rPr>
              <w:t>No model-API framework agreement or quote</w:t>
            </w:r>
          </w:p>
        </w:tc>
        <w:tc>
          <w:tcPr>
            <w:tcW w:type="dxa" w:w="3061"/>
            <w:shd w:val="clear" w:fill="EAF4EF"/>
          </w:tcPr>
          <w:p>
            <w:pPr>
              <w:spacing w:after="20" w:before="20"/>
            </w:pPr>
            <w:r/>
            <w:r>
              <w:rPr>
                <w:b w:val="0"/>
                <w:sz w:val="14"/>
              </w:rPr>
              <w:t>The Core inference envelope of €450,000 rests on a unit price nobody has given (Annex C)</w:t>
            </w:r>
          </w:p>
        </w:tc>
        <w:tc>
          <w:tcPr>
            <w:tcW w:type="dxa" w:w="1247"/>
            <w:shd w:val="clear" w:fill="EAF4EF"/>
          </w:tcPr>
          <w:p>
            <w:pPr>
              <w:spacing w:after="20" w:before="20"/>
            </w:pPr>
            <w:r/>
            <w:r>
              <w:rPr>
                <w:b w:val="0"/>
                <w:sz w:val="14"/>
              </w:rPr>
              <w:t>Ops lead</w:t>
            </w:r>
          </w:p>
        </w:tc>
        <w:tc>
          <w:tcPr>
            <w:tcW w:type="dxa" w:w="1474"/>
            <w:shd w:val="clear" w:fill="EAF4EF"/>
          </w:tcPr>
          <w:p>
            <w:pPr>
              <w:spacing w:after="20" w:before="20"/>
            </w:pPr>
            <w:r/>
            <w:r>
              <w:rPr>
                <w:b w:val="0"/>
                <w:sz w:val="14"/>
              </w:rPr>
              <w:t>Before Tranche A drawdown</w:t>
            </w:r>
          </w:p>
        </w:tc>
        <w:tc>
          <w:tcPr>
            <w:tcW w:type="dxa" w:w="1304"/>
            <w:shd w:val="clear" w:fill="EAF4EF"/>
          </w:tcPr>
          <w:p>
            <w:pPr>
              <w:spacing w:after="20" w:before="20"/>
            </w:pPr>
            <w:r/>
            <w:r>
              <w:rPr>
                <w:b w:val="0"/>
                <w:sz w:val="14"/>
              </w:rPr>
              <w:t>Open</w:t>
            </w:r>
          </w:p>
        </w:tc>
      </w:tr>
      <w:tr>
        <w:trPr>
          <w:cantSplit/>
        </w:trPr>
        <w:tc>
          <w:tcPr>
            <w:tcW w:type="dxa" w:w="510"/>
          </w:tcPr>
          <w:p>
            <w:pPr>
              <w:spacing w:after="20" w:before="20"/>
            </w:pPr>
            <w:r/>
            <w:r>
              <w:rPr>
                <w:b w:val="0"/>
                <w:sz w:val="14"/>
              </w:rPr>
              <w:t>OI-3</w:t>
            </w:r>
          </w:p>
        </w:tc>
        <w:tc>
          <w:tcPr>
            <w:tcW w:type="dxa" w:w="1928"/>
          </w:tcPr>
          <w:p>
            <w:pPr>
              <w:spacing w:after="20" w:before="20"/>
            </w:pPr>
            <w:r/>
            <w:r>
              <w:rPr>
                <w:b w:val="0"/>
                <w:sz w:val="14"/>
              </w:rPr>
              <w:t>Cost lines and rate bands do not reconcile for the engineering and methodological roles</w:t>
            </w:r>
          </w:p>
        </w:tc>
        <w:tc>
          <w:tcPr>
            <w:tcW w:type="dxa" w:w="3061"/>
          </w:tcPr>
          <w:p>
            <w:pPr>
              <w:spacing w:after="20" w:before="20"/>
            </w:pPr>
            <w:r/>
            <w:r>
              <w:rPr>
                <w:b w:val="0"/>
                <w:sz w:val="14"/>
              </w:rPr>
              <w:t>The Core lines carry about €0.45M less than the rates in 5.1 imply at 1,600 h per FTE-year (5.4)</w:t>
            </w:r>
          </w:p>
        </w:tc>
        <w:tc>
          <w:tcPr>
            <w:tcW w:type="dxa" w:w="1247"/>
          </w:tcPr>
          <w:p>
            <w:pPr>
              <w:spacing w:after="20" w:before="20"/>
            </w:pPr>
            <w:r/>
            <w:r>
              <w:rPr>
                <w:b w:val="0"/>
                <w:sz w:val="14"/>
              </w:rPr>
              <w:t>PI + ops lead</w:t>
            </w:r>
          </w:p>
        </w:tc>
        <w:tc>
          <w:tcPr>
            <w:tcW w:type="dxa" w:w="1474"/>
          </w:tcPr>
          <w:p>
            <w:pPr>
              <w:spacing w:after="20" w:before="20"/>
            </w:pPr>
            <w:r/>
            <w:r>
              <w:rPr>
                <w:b w:val="0"/>
                <w:sz w:val="14"/>
              </w:rPr>
              <w:t>At the detailed budget build</w:t>
            </w:r>
          </w:p>
        </w:tc>
        <w:tc>
          <w:tcPr>
            <w:tcW w:type="dxa" w:w="1304"/>
          </w:tcPr>
          <w:p>
            <w:pPr>
              <w:spacing w:after="20" w:before="20"/>
            </w:pPr>
            <w:r/>
            <w:r>
              <w:rPr>
                <w:b w:val="0"/>
                <w:sz w:val="14"/>
              </w:rPr>
              <w:t>Open</w:t>
            </w:r>
          </w:p>
        </w:tc>
      </w:tr>
      <w:tr>
        <w:trPr>
          <w:cantSplit/>
        </w:trPr>
        <w:tc>
          <w:tcPr>
            <w:tcW w:type="dxa" w:w="510"/>
            <w:shd w:val="clear" w:fill="EAF4EF"/>
          </w:tcPr>
          <w:p>
            <w:pPr>
              <w:spacing w:after="20" w:before="20"/>
            </w:pPr>
            <w:r/>
            <w:r>
              <w:rPr>
                <w:b w:val="0"/>
                <w:sz w:val="14"/>
              </w:rPr>
              <w:t>OI-4</w:t>
            </w:r>
          </w:p>
        </w:tc>
        <w:tc>
          <w:tcPr>
            <w:tcW w:type="dxa" w:w="1928"/>
            <w:shd w:val="clear" w:fill="EAF4EF"/>
          </w:tcPr>
          <w:p>
            <w:pPr>
              <w:spacing w:after="20" w:before="20"/>
            </w:pPr>
            <w:r/>
            <w:r>
              <w:rPr>
                <w:b w:val="0"/>
                <w:sz w:val="14"/>
              </w:rPr>
              <w:t>Two principal-investigator rate bands are in circulation</w:t>
            </w:r>
          </w:p>
        </w:tc>
        <w:tc>
          <w:tcPr>
            <w:tcW w:type="dxa" w:w="3061"/>
            <w:shd w:val="clear" w:fill="EAF4EF"/>
          </w:tcPr>
          <w:p>
            <w:pPr>
              <w:spacing w:after="20" w:before="20"/>
            </w:pPr>
            <w:r/>
            <w:r>
              <w:rPr>
                <w:b w:val="0"/>
                <w:sz w:val="14"/>
              </w:rPr>
              <w:t>Section 5.1 carries €85–105/h; the shared cost model's basis note carries €70–90/h. The €340,000 Core figure reconciles with the first and not the second</w:t>
            </w:r>
          </w:p>
        </w:tc>
        <w:tc>
          <w:tcPr>
            <w:tcW w:type="dxa" w:w="1247"/>
            <w:shd w:val="clear" w:fill="EAF4EF"/>
          </w:tcPr>
          <w:p>
            <w:pPr>
              <w:spacing w:after="20" w:before="20"/>
            </w:pPr>
            <w:r/>
            <w:r>
              <w:rPr>
                <w:b w:val="0"/>
                <w:sz w:val="14"/>
              </w:rPr>
              <w:t>Owner of the shared cost model</w:t>
            </w:r>
          </w:p>
        </w:tc>
        <w:tc>
          <w:tcPr>
            <w:tcW w:type="dxa" w:w="1474"/>
            <w:shd w:val="clear" w:fill="EAF4EF"/>
          </w:tcPr>
          <w:p>
            <w:pPr>
              <w:spacing w:after="20" w:before="20"/>
            </w:pPr>
            <w:r/>
            <w:r>
              <w:rPr>
                <w:b w:val="0"/>
                <w:sz w:val="14"/>
              </w:rPr>
              <w:t>Next revision of the shared model</w:t>
            </w:r>
          </w:p>
        </w:tc>
        <w:tc>
          <w:tcPr>
            <w:tcW w:type="dxa" w:w="1304"/>
            <w:shd w:val="clear" w:fill="EAF4EF"/>
          </w:tcPr>
          <w:p>
            <w:pPr>
              <w:spacing w:after="20" w:before="20"/>
            </w:pPr>
            <w:r/>
            <w:r>
              <w:rPr>
                <w:b w:val="0"/>
                <w:sz w:val="14"/>
              </w:rPr>
              <w:t>Recommended change</w:t>
            </w:r>
          </w:p>
        </w:tc>
      </w:tr>
      <w:tr>
        <w:trPr>
          <w:cantSplit/>
        </w:trPr>
        <w:tc>
          <w:tcPr>
            <w:tcW w:type="dxa" w:w="510"/>
          </w:tcPr>
          <w:p>
            <w:pPr>
              <w:spacing w:after="20" w:before="20"/>
            </w:pPr>
            <w:r/>
            <w:r>
              <w:rPr>
                <w:b w:val="0"/>
                <w:sz w:val="14"/>
              </w:rPr>
              <w:t>OI-5</w:t>
            </w:r>
          </w:p>
        </w:tc>
        <w:tc>
          <w:tcPr>
            <w:tcW w:type="dxa" w:w="1928"/>
          </w:tcPr>
          <w:p>
            <w:pPr>
              <w:spacing w:after="20" w:before="20"/>
            </w:pPr>
            <w:r/>
            <w:r>
              <w:rPr>
                <w:b w:val="0"/>
                <w:sz w:val="14"/>
              </w:rPr>
              <w:t>No ethics opinion, and no committee identified with jurisdiction</w:t>
            </w:r>
          </w:p>
        </w:tc>
        <w:tc>
          <w:tcPr>
            <w:tcW w:type="dxa" w:w="3061"/>
          </w:tcPr>
          <w:p>
            <w:pPr>
              <w:spacing w:after="20" w:before="20"/>
            </w:pPr>
            <w:r/>
            <w:r>
              <w:rPr>
                <w:b w:val="0"/>
                <w:sz w:val="14"/>
              </w:rPr>
              <w:t>Contained induction work on trait-bearing checkpoints does not obviously fall under a standard human-subjects committee, and the red lines in the field manual may not map onto one</w:t>
            </w:r>
          </w:p>
        </w:tc>
        <w:tc>
          <w:tcPr>
            <w:tcW w:type="dxa" w:w="1247"/>
          </w:tcPr>
          <w:p>
            <w:pPr>
              <w:spacing w:after="20" w:before="20"/>
            </w:pPr>
            <w:r/>
            <w:r>
              <w:rPr>
                <w:b w:val="0"/>
                <w:sz w:val="14"/>
              </w:rPr>
              <w:t>PI + ethics lead</w:t>
            </w:r>
          </w:p>
        </w:tc>
        <w:tc>
          <w:tcPr>
            <w:tcW w:type="dxa" w:w="1474"/>
          </w:tcPr>
          <w:p>
            <w:pPr>
              <w:spacing w:after="20" w:before="20"/>
            </w:pPr>
            <w:r/>
            <w:r>
              <w:rPr>
                <w:b w:val="0"/>
                <w:sz w:val="14"/>
              </w:rPr>
              <w:t>Before G0</w:t>
            </w:r>
          </w:p>
        </w:tc>
        <w:tc>
          <w:tcPr>
            <w:tcW w:type="dxa" w:w="1304"/>
          </w:tcPr>
          <w:p>
            <w:pPr>
              <w:spacing w:after="20" w:before="20"/>
            </w:pPr>
            <w:r/>
            <w:r>
              <w:rPr>
                <w:b w:val="0"/>
                <w:sz w:val="14"/>
              </w:rPr>
              <w:t>Open</w:t>
            </w:r>
          </w:p>
        </w:tc>
      </w:tr>
      <w:tr>
        <w:trPr>
          <w:cantSplit/>
        </w:trPr>
        <w:tc>
          <w:tcPr>
            <w:tcW w:type="dxa" w:w="510"/>
            <w:shd w:val="clear" w:fill="EAF4EF"/>
          </w:tcPr>
          <w:p>
            <w:pPr>
              <w:spacing w:after="20" w:before="20"/>
            </w:pPr>
            <w:r/>
            <w:r>
              <w:rPr>
                <w:b w:val="0"/>
                <w:sz w:val="14"/>
              </w:rPr>
              <w:t>OI-6</w:t>
            </w:r>
          </w:p>
        </w:tc>
        <w:tc>
          <w:tcPr>
            <w:tcW w:type="dxa" w:w="1928"/>
            <w:shd w:val="clear" w:fill="EAF4EF"/>
          </w:tcPr>
          <w:p>
            <w:pPr>
              <w:spacing w:after="20" w:before="20"/>
            </w:pPr>
            <w:r/>
            <w:r>
              <w:rPr>
                <w:b w:val="0"/>
                <w:sz w:val="14"/>
              </w:rPr>
              <w:t>The agentic containment tier (CNT-1A, task 4.7) has no costed line</w:t>
            </w:r>
          </w:p>
        </w:tc>
        <w:tc>
          <w:tcPr>
            <w:tcW w:type="dxa" w:w="3061"/>
            <w:shd w:val="clear" w:fill="EAF4EF"/>
          </w:tcPr>
          <w:p>
            <w:pPr>
              <w:spacing w:after="20" w:before="20"/>
            </w:pPr>
            <w:r/>
            <w:r>
              <w:rPr>
                <w:b w:val="0"/>
                <w:sz w:val="14"/>
              </w:rPr>
              <w:t>It is a genuine addition in v1.1 and sits inside the containment line as a placeholder rather than as a price</w:t>
            </w:r>
          </w:p>
        </w:tc>
        <w:tc>
          <w:tcPr>
            <w:tcW w:type="dxa" w:w="1247"/>
            <w:shd w:val="clear" w:fill="EAF4EF"/>
          </w:tcPr>
          <w:p>
            <w:pPr>
              <w:spacing w:after="20" w:before="20"/>
            </w:pPr>
            <w:r/>
            <w:r>
              <w:rPr>
                <w:b w:val="0"/>
                <w:sz w:val="14"/>
              </w:rPr>
              <w:t>Safety engineer</w:t>
            </w:r>
          </w:p>
        </w:tc>
        <w:tc>
          <w:tcPr>
            <w:tcW w:type="dxa" w:w="1474"/>
            <w:shd w:val="clear" w:fill="EAF4EF"/>
          </w:tcPr>
          <w:p>
            <w:pPr>
              <w:spacing w:after="20" w:before="20"/>
            </w:pPr>
            <w:r/>
            <w:r>
              <w:rPr>
                <w:b w:val="0"/>
                <w:sz w:val="14"/>
              </w:rPr>
              <w:t>Before G2</w:t>
            </w:r>
          </w:p>
        </w:tc>
        <w:tc>
          <w:tcPr>
            <w:tcW w:type="dxa" w:w="1304"/>
            <w:shd w:val="clear" w:fill="EAF4EF"/>
          </w:tcPr>
          <w:p>
            <w:pPr>
              <w:spacing w:after="20" w:before="20"/>
            </w:pPr>
            <w:r/>
            <w:r>
              <w:rPr>
                <w:b w:val="0"/>
                <w:sz w:val="14"/>
              </w:rPr>
              <w:t>Open</w:t>
            </w:r>
          </w:p>
        </w:tc>
      </w:tr>
      <w:tr>
        <w:trPr>
          <w:cantSplit/>
        </w:trPr>
        <w:tc>
          <w:tcPr>
            <w:tcW w:type="dxa" w:w="510"/>
          </w:tcPr>
          <w:p>
            <w:pPr>
              <w:spacing w:after="20" w:before="20"/>
            </w:pPr>
            <w:r/>
            <w:r>
              <w:rPr>
                <w:b w:val="0"/>
                <w:sz w:val="14"/>
              </w:rPr>
              <w:t>OI-7</w:t>
            </w:r>
          </w:p>
        </w:tc>
        <w:tc>
          <w:tcPr>
            <w:tcW w:type="dxa" w:w="1928"/>
          </w:tcPr>
          <w:p>
            <w:pPr>
              <w:spacing w:after="20" w:before="20"/>
            </w:pPr>
            <w:r/>
            <w:r>
              <w:rPr>
                <w:b w:val="0"/>
                <w:sz w:val="14"/>
              </w:rPr>
              <w:t>No conflict-of-interest instrument for the principal investigator's authorship of the instrument under test</w:t>
            </w:r>
          </w:p>
        </w:tc>
        <w:tc>
          <w:tcPr>
            <w:tcW w:type="dxa" w:w="3061"/>
          </w:tcPr>
          <w:p>
            <w:pPr>
              <w:spacing w:after="20" w:before="20"/>
            </w:pPr>
            <w:r/>
            <w:r>
              <w:rPr>
                <w:b w:val="0"/>
                <w:sz w:val="14"/>
              </w:rPr>
              <w:t>The programme proposes to validate a catalogue its PI wrote; the register and the independent-analysis rule in 11.2 are proposed, not adopted</w:t>
            </w:r>
          </w:p>
        </w:tc>
        <w:tc>
          <w:tcPr>
            <w:tcW w:type="dxa" w:w="1247"/>
          </w:tcPr>
          <w:p>
            <w:pPr>
              <w:spacing w:after="20" w:before="20"/>
            </w:pPr>
            <w:r/>
            <w:r>
              <w:rPr>
                <w:b w:val="0"/>
                <w:sz w:val="14"/>
              </w:rPr>
              <w:t>Governance board</w:t>
            </w:r>
          </w:p>
        </w:tc>
        <w:tc>
          <w:tcPr>
            <w:tcW w:type="dxa" w:w="1474"/>
          </w:tcPr>
          <w:p>
            <w:pPr>
              <w:spacing w:after="20" w:before="20"/>
            </w:pPr>
            <w:r/>
            <w:r>
              <w:rPr>
                <w:b w:val="0"/>
                <w:sz w:val="14"/>
              </w:rPr>
              <w:t>Before G0</w:t>
            </w:r>
          </w:p>
        </w:tc>
        <w:tc>
          <w:tcPr>
            <w:tcW w:type="dxa" w:w="1304"/>
          </w:tcPr>
          <w:p>
            <w:pPr>
              <w:spacing w:after="20" w:before="20"/>
            </w:pPr>
            <w:r/>
            <w:r>
              <w:rPr>
                <w:b w:val="0"/>
                <w:sz w:val="14"/>
              </w:rPr>
              <w:t>Open</w:t>
            </w:r>
          </w:p>
        </w:tc>
      </w:tr>
      <w:tr>
        <w:trPr>
          <w:cantSplit/>
        </w:trPr>
        <w:tc>
          <w:tcPr>
            <w:tcW w:type="dxa" w:w="510"/>
            <w:shd w:val="clear" w:fill="EAF4EF"/>
          </w:tcPr>
          <w:p>
            <w:pPr>
              <w:spacing w:after="20" w:before="20"/>
            </w:pPr>
            <w:r/>
            <w:r>
              <w:rPr>
                <w:b w:val="0"/>
                <w:sz w:val="14"/>
              </w:rPr>
              <w:t>OI-8</w:t>
            </w:r>
          </w:p>
        </w:tc>
        <w:tc>
          <w:tcPr>
            <w:tcW w:type="dxa" w:w="1928"/>
            <w:shd w:val="clear" w:fill="EAF4EF"/>
          </w:tcPr>
          <w:p>
            <w:pPr>
              <w:spacing w:after="20" w:before="20"/>
            </w:pPr>
            <w:r/>
            <w:r>
              <w:rPr>
                <w:b w:val="0"/>
                <w:sz w:val="14"/>
              </w:rPr>
              <w:t>The 44 deferred catalogue entries are named by rule, not yet published as a list</w:t>
            </w:r>
          </w:p>
        </w:tc>
        <w:tc>
          <w:tcPr>
            <w:tcW w:type="dxa" w:w="3061"/>
            <w:shd w:val="clear" w:fill="EAF4EF"/>
          </w:tcPr>
          <w:p>
            <w:pPr>
              <w:spacing w:after="20" w:before="20"/>
            </w:pPr>
            <w:r/>
            <w:r>
              <w:rPr>
                <w:b w:val="0"/>
                <w:sz w:val="14"/>
              </w:rPr>
              <w:t>The rule is in the shared data model; the list has to appear in the pre-registration so that ‘untested’ is auditable, together with the 5 entries of OI-15</w:t>
            </w:r>
          </w:p>
        </w:tc>
        <w:tc>
          <w:tcPr>
            <w:tcW w:type="dxa" w:w="1247"/>
            <w:shd w:val="clear" w:fill="EAF4EF"/>
          </w:tcPr>
          <w:p>
            <w:pPr>
              <w:spacing w:after="20" w:before="20"/>
            </w:pPr>
            <w:r/>
            <w:r>
              <w:rPr>
                <w:b w:val="0"/>
                <w:sz w:val="14"/>
              </w:rPr>
              <w:t>Trait team</w:t>
            </w:r>
          </w:p>
        </w:tc>
        <w:tc>
          <w:tcPr>
            <w:tcW w:type="dxa" w:w="1474"/>
            <w:shd w:val="clear" w:fill="EAF4EF"/>
          </w:tcPr>
          <w:p>
            <w:pPr>
              <w:spacing w:after="20" w:before="20"/>
            </w:pPr>
            <w:r/>
            <w:r>
              <w:rPr>
                <w:b w:val="0"/>
                <w:sz w:val="14"/>
              </w:rPr>
              <w:t>At pre-registration</w:t>
            </w:r>
          </w:p>
        </w:tc>
        <w:tc>
          <w:tcPr>
            <w:tcW w:type="dxa" w:w="1304"/>
            <w:shd w:val="clear" w:fill="EAF4EF"/>
          </w:tcPr>
          <w:p>
            <w:pPr>
              <w:spacing w:after="20" w:before="20"/>
            </w:pPr>
            <w:r/>
            <w:r>
              <w:rPr>
                <w:b w:val="0"/>
                <w:sz w:val="14"/>
              </w:rPr>
              <w:t>Open</w:t>
            </w:r>
          </w:p>
        </w:tc>
      </w:tr>
      <w:tr>
        <w:trPr>
          <w:cantSplit/>
        </w:trPr>
        <w:tc>
          <w:tcPr>
            <w:tcW w:type="dxa" w:w="510"/>
          </w:tcPr>
          <w:p>
            <w:pPr>
              <w:spacing w:after="20" w:before="20"/>
            </w:pPr>
            <w:r/>
            <w:r>
              <w:rPr>
                <w:b w:val="0"/>
                <w:sz w:val="14"/>
              </w:rPr>
              <w:t>OI-9</w:t>
            </w:r>
          </w:p>
        </w:tc>
        <w:tc>
          <w:tcPr>
            <w:tcW w:type="dxa" w:w="1928"/>
          </w:tcPr>
          <w:p>
            <w:pPr>
              <w:spacing w:after="20" w:before="20"/>
            </w:pPr>
            <w:r/>
            <w:r>
              <w:rPr>
                <w:b w:val="0"/>
                <w:sz w:val="14"/>
              </w:rPr>
              <w:t>Differential work is scoped by entry count, not by pair count</w:t>
            </w:r>
          </w:p>
        </w:tc>
        <w:tc>
          <w:tcPr>
            <w:tcW w:type="dxa" w:w="3061"/>
          </w:tcPr>
          <w:p>
            <w:pPr>
              <w:spacing w:after="20" w:before="20"/>
            </w:pPr>
            <w:r/>
            <w:r>
              <w:rPr>
                <w:b w:val="0"/>
                <w:sz w:val="14"/>
              </w:rPr>
              <w:t>The priority set touches 141 of the 218 named confusable pairs but has both ends inside only 38 of them; the cost argument in the shared model rests on 46 entries against 40 (6.9)</w:t>
            </w:r>
          </w:p>
        </w:tc>
        <w:tc>
          <w:tcPr>
            <w:tcW w:type="dxa" w:w="1247"/>
          </w:tcPr>
          <w:p>
            <w:pPr>
              <w:spacing w:after="20" w:before="20"/>
            </w:pPr>
            <w:r/>
            <w:r>
              <w:rPr>
                <w:b w:val="0"/>
                <w:sz w:val="14"/>
              </w:rPr>
              <w:t>PI + trait team</w:t>
            </w:r>
          </w:p>
        </w:tc>
        <w:tc>
          <w:tcPr>
            <w:tcW w:type="dxa" w:w="1474"/>
          </w:tcPr>
          <w:p>
            <w:pPr>
              <w:spacing w:after="20" w:before="20"/>
            </w:pPr>
            <w:r/>
            <w:r>
              <w:rPr>
                <w:b w:val="0"/>
                <w:sz w:val="14"/>
              </w:rPr>
              <w:t>Before G0</w:t>
            </w:r>
          </w:p>
        </w:tc>
        <w:tc>
          <w:tcPr>
            <w:tcW w:type="dxa" w:w="1304"/>
          </w:tcPr>
          <w:p>
            <w:pPr>
              <w:spacing w:after="20" w:before="20"/>
            </w:pPr>
            <w:r/>
            <w:r>
              <w:rPr>
                <w:b w:val="0"/>
                <w:sz w:val="14"/>
              </w:rPr>
              <w:t>Recommended change</w:t>
            </w:r>
          </w:p>
        </w:tc>
      </w:tr>
      <w:tr>
        <w:trPr>
          <w:cantSplit/>
        </w:trPr>
        <w:tc>
          <w:tcPr>
            <w:tcW w:type="dxa" w:w="510"/>
            <w:shd w:val="clear" w:fill="EAF4EF"/>
          </w:tcPr>
          <w:p>
            <w:pPr>
              <w:spacing w:after="20" w:before="20"/>
            </w:pPr>
            <w:r/>
            <w:r>
              <w:rPr>
                <w:b w:val="0"/>
                <w:sz w:val="14"/>
              </w:rPr>
              <w:t>OI-14</w:t>
            </w:r>
          </w:p>
        </w:tc>
        <w:tc>
          <w:tcPr>
            <w:tcW w:type="dxa" w:w="1928"/>
            <w:shd w:val="clear" w:fill="EAF4EF"/>
          </w:tcPr>
          <w:p>
            <w:pPr>
              <w:spacing w:after="20" w:before="20"/>
            </w:pPr>
            <w:r/>
            <w:r>
              <w:rPr>
                <w:b w:val="0"/>
                <w:sz w:val="14"/>
              </w:rPr>
              <w:t>Four critical-path links carry negative float</w:t>
            </w:r>
          </w:p>
        </w:tc>
        <w:tc>
          <w:tcPr>
            <w:tcW w:type="dxa" w:w="3061"/>
            <w:shd w:val="clear" w:fill="EAF4EF"/>
          </w:tcPr>
          <w:p>
            <w:pPr>
              <w:spacing w:after="20" w:before="20"/>
            </w:pPr>
            <w:r/>
            <w:r>
              <w:rPr>
                <w:b w:val="0"/>
                <w:sz w:val="14"/>
              </w:rPr>
              <w:t>The successors are scheduled to start before their predecessors end (4.2). Either the partial outputs they start on are specified, or the dates move; this edition records the overlap rather than moving a date it cannot defend</w:t>
            </w:r>
          </w:p>
        </w:tc>
        <w:tc>
          <w:tcPr>
            <w:tcW w:type="dxa" w:w="1247"/>
            <w:shd w:val="clear" w:fill="EAF4EF"/>
          </w:tcPr>
          <w:p>
            <w:pPr>
              <w:spacing w:after="20" w:before="20"/>
            </w:pPr>
            <w:r/>
            <w:r>
              <w:rPr>
                <w:b w:val="0"/>
                <w:sz w:val="14"/>
              </w:rPr>
              <w:t>PI + WP leads</w:t>
            </w:r>
          </w:p>
        </w:tc>
        <w:tc>
          <w:tcPr>
            <w:tcW w:type="dxa" w:w="1474"/>
            <w:shd w:val="clear" w:fill="EAF4EF"/>
          </w:tcPr>
          <w:p>
            <w:pPr>
              <w:spacing w:after="20" w:before="20"/>
            </w:pPr>
            <w:r/>
            <w:r>
              <w:rPr>
                <w:b w:val="0"/>
                <w:sz w:val="14"/>
              </w:rPr>
              <w:t>At the detailed schedule build</w:t>
            </w:r>
          </w:p>
        </w:tc>
        <w:tc>
          <w:tcPr>
            <w:tcW w:type="dxa" w:w="1304"/>
            <w:shd w:val="clear" w:fill="EAF4EF"/>
          </w:tcPr>
          <w:p>
            <w:pPr>
              <w:spacing w:after="20" w:before="20"/>
            </w:pPr>
            <w:r/>
            <w:r>
              <w:rPr>
                <w:b w:val="0"/>
                <w:sz w:val="14"/>
              </w:rPr>
              <w:t>Open</w:t>
            </w:r>
          </w:p>
        </w:tc>
      </w:tr>
      <w:tr>
        <w:trPr>
          <w:cantSplit/>
        </w:trPr>
        <w:tc>
          <w:tcPr>
            <w:tcW w:type="dxa" w:w="510"/>
          </w:tcPr>
          <w:p>
            <w:pPr>
              <w:spacing w:after="20" w:before="20"/>
            </w:pPr>
            <w:r/>
            <w:r>
              <w:rPr>
                <w:b w:val="0"/>
                <w:sz w:val="14"/>
              </w:rPr>
              <w:t>OI-15</w:t>
            </w:r>
          </w:p>
        </w:tc>
        <w:tc>
          <w:tcPr>
            <w:tcW w:type="dxa" w:w="1928"/>
          </w:tcPr>
          <w:p>
            <w:pPr>
              <w:spacing w:after="20" w:before="20"/>
            </w:pPr>
            <w:r/>
            <w:r>
              <w:rPr>
                <w:b w:val="0"/>
                <w:sz w:val="14"/>
              </w:rPr>
              <w:t>5 established entries are reached by no funded differential battery</w:t>
            </w:r>
          </w:p>
        </w:tc>
        <w:tc>
          <w:tcPr>
            <w:tcW w:type="dxa" w:w="3061"/>
          </w:tcPr>
          <w:p>
            <w:pPr>
              <w:spacing w:after="20" w:before="20"/>
            </w:pPr>
            <w:r/>
            <w:r>
              <w:rPr>
                <w:b w:val="0"/>
                <w:sz w:val="14"/>
              </w:rPr>
              <w:t>Every confusable pair the manual names for T-28, T-43, T-59, T-62, T-64 has both arms outside the priority set (2.3, 6.9). They are reported as untested and are the first candidates for a scope increase above Core</w:t>
            </w:r>
          </w:p>
        </w:tc>
        <w:tc>
          <w:tcPr>
            <w:tcW w:type="dxa" w:w="1247"/>
          </w:tcPr>
          <w:p>
            <w:pPr>
              <w:spacing w:after="20" w:before="20"/>
            </w:pPr>
            <w:r/>
            <w:r>
              <w:rPr>
                <w:b w:val="0"/>
                <w:sz w:val="14"/>
              </w:rPr>
              <w:t>Trait team</w:t>
            </w:r>
          </w:p>
        </w:tc>
        <w:tc>
          <w:tcPr>
            <w:tcW w:type="dxa" w:w="1474"/>
          </w:tcPr>
          <w:p>
            <w:pPr>
              <w:spacing w:after="20" w:before="20"/>
            </w:pPr>
            <w:r/>
            <w:r>
              <w:rPr>
                <w:b w:val="0"/>
                <w:sz w:val="14"/>
              </w:rPr>
              <w:t>At pre-registration</w:t>
            </w:r>
          </w:p>
        </w:tc>
        <w:tc>
          <w:tcPr>
            <w:tcW w:type="dxa" w:w="1304"/>
          </w:tcPr>
          <w:p>
            <w:pPr>
              <w:spacing w:after="20" w:before="20"/>
            </w:pPr>
            <w:r/>
            <w:r>
              <w:rPr>
                <w:b w:val="0"/>
                <w:sz w:val="14"/>
              </w:rPr>
              <w:t>Open</w:t>
            </w:r>
          </w:p>
        </w:tc>
      </w:tr>
      <w:tr>
        <w:trPr>
          <w:cantSplit/>
        </w:trPr>
        <w:tc>
          <w:tcPr>
            <w:tcW w:type="dxa" w:w="510"/>
            <w:shd w:val="clear" w:fill="EAF4EF"/>
          </w:tcPr>
          <w:p>
            <w:pPr>
              <w:spacing w:after="20" w:before="20"/>
            </w:pPr>
            <w:r/>
            <w:r>
              <w:rPr>
                <w:b w:val="0"/>
                <w:sz w:val="14"/>
              </w:rPr>
              <w:t>OI-17</w:t>
            </w:r>
          </w:p>
        </w:tc>
        <w:tc>
          <w:tcPr>
            <w:tcW w:type="dxa" w:w="1928"/>
            <w:shd w:val="clear" w:fill="EAF4EF"/>
          </w:tcPr>
          <w:p>
            <w:pPr>
              <w:spacing w:after="20" w:before="20"/>
            </w:pPr>
            <w:r/>
            <w:r>
              <w:rPr>
                <w:b w:val="0"/>
                <w:sz w:val="14"/>
              </w:rPr>
              <w:t>Milestones and gates are paired by position, not by meaning</w:t>
            </w:r>
          </w:p>
        </w:tc>
        <w:tc>
          <w:tcPr>
            <w:tcW w:type="dxa" w:w="3061"/>
            <w:shd w:val="clear" w:fill="EAF4EF"/>
          </w:tcPr>
          <w:p>
            <w:pPr>
              <w:spacing w:after="20" w:before="20"/>
            </w:pPr>
            <w:r/>
            <w:r>
              <w:rPr>
                <w:b w:val="0"/>
                <w:sz w:val="14"/>
              </w:rPr>
              <w:t>The shared support module zips the eight milestones against the five gates in order, so the Gate/evidence column in 4.1 reads against the wrong milestone for most rows. An explicit milestone-to-gate map belongs in the shared model</w:t>
            </w:r>
          </w:p>
        </w:tc>
        <w:tc>
          <w:tcPr>
            <w:tcW w:type="dxa" w:w="1247"/>
            <w:shd w:val="clear" w:fill="EAF4EF"/>
          </w:tcPr>
          <w:p>
            <w:pPr>
              <w:spacing w:after="20" w:before="20"/>
            </w:pPr>
            <w:r/>
            <w:r>
              <w:rPr>
                <w:b w:val="0"/>
                <w:sz w:val="14"/>
              </w:rPr>
              <w:t>Owner of the shared task and milestone model</w:t>
            </w:r>
          </w:p>
        </w:tc>
        <w:tc>
          <w:tcPr>
            <w:tcW w:type="dxa" w:w="1474"/>
            <w:shd w:val="clear" w:fill="EAF4EF"/>
          </w:tcPr>
          <w:p>
            <w:pPr>
              <w:spacing w:after="20" w:before="20"/>
            </w:pPr>
            <w:r/>
            <w:r>
              <w:rPr>
                <w:b w:val="0"/>
                <w:sz w:val="14"/>
              </w:rPr>
              <w:t>Next revision of the shared model</w:t>
            </w:r>
          </w:p>
        </w:tc>
        <w:tc>
          <w:tcPr>
            <w:tcW w:type="dxa" w:w="1304"/>
            <w:shd w:val="clear" w:fill="EAF4EF"/>
          </w:tcPr>
          <w:p>
            <w:pPr>
              <w:spacing w:after="20" w:before="20"/>
            </w:pPr>
            <w:r/>
            <w:r>
              <w:rPr>
                <w:b w:val="0"/>
                <w:sz w:val="14"/>
              </w:rPr>
              <w:t>Recommended change</w:t>
            </w:r>
          </w:p>
        </w:tc>
      </w:tr>
      <w:tr>
        <w:trPr>
          <w:cantSplit/>
        </w:trPr>
        <w:tc>
          <w:tcPr>
            <w:tcW w:type="dxa" w:w="510"/>
          </w:tcPr>
          <w:p>
            <w:pPr>
              <w:spacing w:after="20" w:before="20"/>
            </w:pPr>
            <w:r/>
            <w:r>
              <w:rPr>
                <w:b w:val="0"/>
                <w:sz w:val="14"/>
              </w:rPr>
              <w:t>OI-16</w:t>
            </w:r>
          </w:p>
        </w:tc>
        <w:tc>
          <w:tcPr>
            <w:tcW w:type="dxa" w:w="1928"/>
          </w:tcPr>
          <w:p>
            <w:pPr>
              <w:spacing w:after="20" w:before="20"/>
            </w:pPr>
            <w:r/>
            <w:r>
              <w:rPr>
                <w:b w:val="0"/>
                <w:sz w:val="14"/>
              </w:rPr>
              <w:t>The contingency line is labelled with percentages it does not apply</w:t>
            </w:r>
          </w:p>
        </w:tc>
        <w:tc>
          <w:tcPr>
            <w:tcW w:type="dxa" w:w="3061"/>
          </w:tcPr>
          <w:p>
            <w:pPr>
              <w:spacing w:after="20" w:before="20"/>
            </w:pPr>
            <w:r/>
            <w:r>
              <w:rPr>
                <w:b w:val="0"/>
                <w:sz w:val="14"/>
              </w:rPr>
              <w:t>The shared cost model labels the line ‘5 / 10 / 12 %’ and carries 4.6%, 8.8%, 12.4% of the lines beneath it (6.2). Either the label or the amounts should move, and only the owner of the shared model can move the amounts</w:t>
            </w:r>
          </w:p>
        </w:tc>
        <w:tc>
          <w:tcPr>
            <w:tcW w:type="dxa" w:w="1247"/>
          </w:tcPr>
          <w:p>
            <w:pPr>
              <w:spacing w:after="20" w:before="20"/>
            </w:pPr>
            <w:r/>
            <w:r>
              <w:rPr>
                <w:b w:val="0"/>
                <w:sz w:val="14"/>
              </w:rPr>
              <w:t>Owner of the shared cost model</w:t>
            </w:r>
          </w:p>
        </w:tc>
        <w:tc>
          <w:tcPr>
            <w:tcW w:type="dxa" w:w="1474"/>
          </w:tcPr>
          <w:p>
            <w:pPr>
              <w:spacing w:after="20" w:before="20"/>
            </w:pPr>
            <w:r/>
            <w:r>
              <w:rPr>
                <w:b w:val="0"/>
                <w:sz w:val="14"/>
              </w:rPr>
              <w:t>Next revision of the shared model</w:t>
            </w:r>
          </w:p>
        </w:tc>
        <w:tc>
          <w:tcPr>
            <w:tcW w:type="dxa" w:w="1304"/>
          </w:tcPr>
          <w:p>
            <w:pPr>
              <w:spacing w:after="20" w:before="20"/>
            </w:pPr>
            <w:r/>
            <w:r>
              <w:rPr>
                <w:b w:val="0"/>
                <w:sz w:val="14"/>
              </w:rPr>
              <w:t>Recommended change</w:t>
            </w:r>
          </w:p>
        </w:tc>
      </w:tr>
      <w:tr>
        <w:trPr>
          <w:cantSplit/>
        </w:trPr>
        <w:tc>
          <w:tcPr>
            <w:tcW w:type="dxa" w:w="510"/>
            <w:shd w:val="clear" w:fill="EAF4EF"/>
          </w:tcPr>
          <w:p>
            <w:pPr>
              <w:spacing w:after="20" w:before="20"/>
            </w:pPr>
            <w:r/>
            <w:r>
              <w:rPr>
                <w:b w:val="0"/>
                <w:sz w:val="14"/>
              </w:rPr>
              <w:t>OI-10</w:t>
            </w:r>
          </w:p>
        </w:tc>
        <w:tc>
          <w:tcPr>
            <w:tcW w:type="dxa" w:w="1928"/>
            <w:shd w:val="clear" w:fill="EAF4EF"/>
          </w:tcPr>
          <w:p>
            <w:pPr>
              <w:spacing w:after="20" w:before="20"/>
            </w:pPr>
            <w:r/>
            <w:r>
              <w:rPr>
                <w:b w:val="0"/>
                <w:sz w:val="14"/>
              </w:rPr>
              <w:t>v1.0 compute assumption was internally inconsistent</w:t>
            </w:r>
          </w:p>
        </w:tc>
        <w:tc>
          <w:tcPr>
            <w:tcW w:type="dxa" w:w="3061"/>
            <w:shd w:val="clear" w:fill="EAF4EF"/>
          </w:tcPr>
          <w:p>
            <w:pPr>
              <w:spacing w:after="20" w:before="20"/>
            </w:pPr>
            <w:r/>
            <w:r>
              <w:rPr>
                <w:b w:val="0"/>
                <w:sz w:val="14"/>
              </w:rPr>
              <w:t>It stated 720,000 item-presentations where 360 × 20 × 10 is 72,000; Annex C restates the model from the bottom up</w:t>
            </w:r>
          </w:p>
        </w:tc>
        <w:tc>
          <w:tcPr>
            <w:tcW w:type="dxa" w:w="1247"/>
            <w:shd w:val="clear" w:fill="EAF4EF"/>
          </w:tcPr>
          <w:p>
            <w:pPr>
              <w:spacing w:after="20" w:before="20"/>
            </w:pPr>
            <w:r/>
            <w:r>
              <w:rPr>
                <w:b w:val="0"/>
                <w:sz w:val="14"/>
              </w:rPr>
              <w:t>—</w:t>
            </w:r>
          </w:p>
        </w:tc>
        <w:tc>
          <w:tcPr>
            <w:tcW w:type="dxa" w:w="1474"/>
            <w:shd w:val="clear" w:fill="EAF4EF"/>
          </w:tcPr>
          <w:p>
            <w:pPr>
              <w:spacing w:after="20" w:before="20"/>
            </w:pPr>
            <w:r/>
            <w:r>
              <w:rPr>
                <w:b w:val="0"/>
                <w:sz w:val="14"/>
              </w:rPr>
              <w:t>—</w:t>
            </w:r>
          </w:p>
        </w:tc>
        <w:tc>
          <w:tcPr>
            <w:tcW w:type="dxa" w:w="1304"/>
            <w:shd w:val="clear" w:fill="EAF4EF"/>
          </w:tcPr>
          <w:p>
            <w:pPr>
              <w:spacing w:after="20" w:before="20"/>
            </w:pPr>
            <w:r/>
            <w:r>
              <w:rPr>
                <w:b w:val="0"/>
                <w:sz w:val="14"/>
              </w:rPr>
              <w:t>Closed in v1.1</w:t>
            </w:r>
          </w:p>
        </w:tc>
      </w:tr>
      <w:tr>
        <w:trPr>
          <w:cantSplit/>
        </w:trPr>
        <w:tc>
          <w:tcPr>
            <w:tcW w:type="dxa" w:w="510"/>
          </w:tcPr>
          <w:p>
            <w:pPr>
              <w:spacing w:after="20" w:before="20"/>
            </w:pPr>
            <w:r/>
            <w:r>
              <w:rPr>
                <w:b w:val="0"/>
                <w:sz w:val="14"/>
              </w:rPr>
              <w:t>OI-11</w:t>
            </w:r>
          </w:p>
        </w:tc>
        <w:tc>
          <w:tcPr>
            <w:tcW w:type="dxa" w:w="1928"/>
          </w:tcPr>
          <w:p>
            <w:pPr>
              <w:spacing w:after="20" w:before="20"/>
            </w:pPr>
            <w:r/>
            <w:r>
              <w:rPr>
                <w:b w:val="0"/>
                <w:sz w:val="14"/>
              </w:rPr>
              <w:t>v1.0 Full-scenario staffing table dropped a year and mis-totalled</w:t>
            </w:r>
          </w:p>
        </w:tc>
        <w:tc>
          <w:tcPr>
            <w:tcW w:type="dxa" w:w="3061"/>
          </w:tcPr>
          <w:p>
            <w:pPr>
              <w:spacing w:after="20" w:before="20"/>
            </w:pPr>
            <w:r/>
            <w:r>
              <w:rPr>
                <w:b w:val="0"/>
                <w:sz w:val="14"/>
              </w:rPr>
              <w:t>The principal-investigator row carried four years of a five-year plan and the total read 61 FTE-years against a row sum of 65.3; Annex B now computes both</w:t>
            </w:r>
          </w:p>
        </w:tc>
        <w:tc>
          <w:tcPr>
            <w:tcW w:type="dxa" w:w="1247"/>
          </w:tcPr>
          <w:p>
            <w:pPr>
              <w:spacing w:after="20" w:before="20"/>
            </w:pPr>
            <w:r/>
            <w:r>
              <w:rPr>
                <w:b w:val="0"/>
                <w:sz w:val="14"/>
              </w:rPr>
              <w:t>—</w:t>
            </w:r>
          </w:p>
        </w:tc>
        <w:tc>
          <w:tcPr>
            <w:tcW w:type="dxa" w:w="1474"/>
          </w:tcPr>
          <w:p>
            <w:pPr>
              <w:spacing w:after="20" w:before="20"/>
            </w:pPr>
            <w:r/>
            <w:r>
              <w:rPr>
                <w:b w:val="0"/>
                <w:sz w:val="14"/>
              </w:rPr>
              <w:t>—</w:t>
            </w:r>
          </w:p>
        </w:tc>
        <w:tc>
          <w:tcPr>
            <w:tcW w:type="dxa" w:w="1304"/>
          </w:tcPr>
          <w:p>
            <w:pPr>
              <w:spacing w:after="20" w:before="20"/>
            </w:pPr>
            <w:r/>
            <w:r>
              <w:rPr>
                <w:b w:val="0"/>
                <w:sz w:val="14"/>
              </w:rPr>
              <w:t>Closed in v1.1</w:t>
            </w:r>
          </w:p>
        </w:tc>
      </w:tr>
      <w:tr>
        <w:trPr>
          <w:cantSplit/>
        </w:trPr>
        <w:tc>
          <w:tcPr>
            <w:tcW w:type="dxa" w:w="510"/>
            <w:shd w:val="clear" w:fill="EAF4EF"/>
          </w:tcPr>
          <w:p>
            <w:pPr>
              <w:spacing w:after="20" w:before="20"/>
            </w:pPr>
            <w:r/>
            <w:r>
              <w:rPr>
                <w:b w:val="0"/>
                <w:sz w:val="14"/>
              </w:rPr>
              <w:t>OI-12</w:t>
            </w:r>
          </w:p>
        </w:tc>
        <w:tc>
          <w:tcPr>
            <w:tcW w:type="dxa" w:w="1928"/>
            <w:shd w:val="clear" w:fill="EAF4EF"/>
          </w:tcPr>
          <w:p>
            <w:pPr>
              <w:spacing w:after="20" w:before="20"/>
            </w:pPr>
            <w:r/>
            <w:r>
              <w:rPr>
                <w:b w:val="0"/>
                <w:sz w:val="14"/>
              </w:rPr>
              <w:t>v1.0 Lean staffing plan omitted the doctoral researcher its own cost line funds</w:t>
            </w:r>
          </w:p>
        </w:tc>
        <w:tc>
          <w:tcPr>
            <w:tcW w:type="dxa" w:w="3061"/>
            <w:shd w:val="clear" w:fill="EAF4EF"/>
          </w:tcPr>
          <w:p>
            <w:pPr>
              <w:spacing w:after="20" w:before="20"/>
            </w:pPr>
            <w:r/>
            <w:r>
              <w:rPr>
                <w:b w:val="0"/>
                <w:sz w:val="14"/>
              </w:rPr>
              <w:t>The Lean cost line carries €135,000 for a doctoral researcher and the Lean FTE table had no such row; restored in Annex B, which also makes the Lean research-FTE peak agree with the resource model for the first time</w:t>
            </w:r>
          </w:p>
        </w:tc>
        <w:tc>
          <w:tcPr>
            <w:tcW w:type="dxa" w:w="1247"/>
            <w:shd w:val="clear" w:fill="EAF4EF"/>
          </w:tcPr>
          <w:p>
            <w:pPr>
              <w:spacing w:after="20" w:before="20"/>
            </w:pPr>
            <w:r/>
            <w:r>
              <w:rPr>
                <w:b w:val="0"/>
                <w:sz w:val="14"/>
              </w:rPr>
              <w:t>—</w:t>
            </w:r>
          </w:p>
        </w:tc>
        <w:tc>
          <w:tcPr>
            <w:tcW w:type="dxa" w:w="1474"/>
            <w:shd w:val="clear" w:fill="EAF4EF"/>
          </w:tcPr>
          <w:p>
            <w:pPr>
              <w:spacing w:after="20" w:before="20"/>
            </w:pPr>
            <w:r/>
            <w:r>
              <w:rPr>
                <w:b w:val="0"/>
                <w:sz w:val="14"/>
              </w:rPr>
              <w:t>—</w:t>
            </w:r>
          </w:p>
        </w:tc>
        <w:tc>
          <w:tcPr>
            <w:tcW w:type="dxa" w:w="1304"/>
            <w:shd w:val="clear" w:fill="EAF4EF"/>
          </w:tcPr>
          <w:p>
            <w:pPr>
              <w:spacing w:after="20" w:before="20"/>
            </w:pPr>
            <w:r/>
            <w:r>
              <w:rPr>
                <w:b w:val="0"/>
                <w:sz w:val="14"/>
              </w:rPr>
              <w:t>Closed in v1.1</w:t>
            </w:r>
          </w:p>
        </w:tc>
      </w:tr>
      <w:tr>
        <w:trPr>
          <w:cantSplit/>
        </w:trPr>
        <w:tc>
          <w:tcPr>
            <w:tcW w:type="dxa" w:w="510"/>
          </w:tcPr>
          <w:p>
            <w:pPr>
              <w:spacing w:after="20" w:before="20"/>
            </w:pPr>
            <w:r/>
            <w:r>
              <w:rPr>
                <w:b w:val="0"/>
                <w:sz w:val="14"/>
              </w:rPr>
              <w:t>OI-13</w:t>
            </w:r>
          </w:p>
        </w:tc>
        <w:tc>
          <w:tcPr>
            <w:tcW w:type="dxa" w:w="1928"/>
          </w:tcPr>
          <w:p>
            <w:pPr>
              <w:spacing w:after="20" w:before="20"/>
            </w:pPr>
            <w:r/>
            <w:r>
              <w:rPr>
                <w:b w:val="0"/>
                <w:sz w:val="14"/>
              </w:rPr>
              <w:t>v1.0 resource model quoted a peak-FTE figure computed two different ways</w:t>
            </w:r>
          </w:p>
        </w:tc>
        <w:tc>
          <w:tcPr>
            <w:tcW w:type="dxa" w:w="3061"/>
          </w:tcPr>
          <w:p>
            <w:pPr>
              <w:spacing w:after="20" w:before="20"/>
            </w:pPr>
            <w:r/>
            <w:r>
              <w:rPr>
                <w:b w:val="0"/>
                <w:sz w:val="14"/>
              </w:rPr>
              <w:t>‘FTE (peak year, excl. PI)’ read 3.0 / 6.5 / 11.0; only Lean excluded nothing but the PI, while Core and Full also dropped operations, the data steward and the containment engineer. One rule now applies to all three (5.2)</w:t>
            </w:r>
          </w:p>
        </w:tc>
        <w:tc>
          <w:tcPr>
            <w:tcW w:type="dxa" w:w="1247"/>
          </w:tcPr>
          <w:p>
            <w:pPr>
              <w:spacing w:after="20" w:before="20"/>
            </w:pPr>
            <w:r/>
            <w:r>
              <w:rPr>
                <w:b w:val="0"/>
                <w:sz w:val="14"/>
              </w:rPr>
              <w:t>—</w:t>
            </w:r>
          </w:p>
        </w:tc>
        <w:tc>
          <w:tcPr>
            <w:tcW w:type="dxa" w:w="1474"/>
          </w:tcPr>
          <w:p>
            <w:pPr>
              <w:spacing w:after="20" w:before="20"/>
            </w:pPr>
            <w:r/>
            <w:r>
              <w:rPr>
                <w:b w:val="0"/>
                <w:sz w:val="14"/>
              </w:rPr>
              <w:t>—</w:t>
            </w:r>
          </w:p>
        </w:tc>
        <w:tc>
          <w:tcPr>
            <w:tcW w:type="dxa" w:w="1304"/>
          </w:tcPr>
          <w:p>
            <w:pPr>
              <w:spacing w:after="20" w:before="20"/>
            </w:pPr>
            <w:r/>
            <w:r>
              <w:rPr>
                <w:b w:val="0"/>
                <w:sz w:val="14"/>
              </w:rPr>
              <w:t>Closed in v1.1</w:t>
            </w:r>
          </w:p>
        </w:tc>
      </w:tr>
    </w:tbl>
    <w:p>
      <w:pPr>
        <w:spacing w:after="100"/>
      </w:pPr>
      <w:r>
        <w:rPr>
          <w:b w:val="0"/>
          <w:i/>
          <w:sz w:val="16"/>
        </w:rPr>
        <w:t>Table — the register of open items: thirteen live or recommended, four closed in this revision with the v1.0 error each of them names. Every open row carries an owner and a date, because an open item without both is a wish rather than a commitment.</w:t>
      </w:r>
    </w:p>
    <w:p>
      <w:pPr>
        <w:pStyle w:val="Heading1"/>
      </w:pPr>
      <w:r>
        <w:t>References</w:t>
      </w:r>
    </w:p>
    <w:p>
      <w:pPr>
        <w:spacing w:before="0" w:after="140" w:line="40" w:lineRule="exact"/>
        <w:pBdr>
          <w:bottom w:val="single" w:sz="16" w:space="0" w:color="E8A13D"/>
        </w:pBdr>
      </w:pPr>
      <w:r>
        <w:rPr>
          <w:sz w:val="2"/>
        </w:rPr>
      </w:r>
    </w:p>
    <w:p>
      <w:pPr>
        <w:spacing w:after="60"/>
        <w:ind w:left="567" w:hanging="567"/>
      </w:pPr>
      <w:r>
        <w:rPr>
          <w:b/>
          <w:sz w:val="17"/>
        </w:rPr>
        <w:t xml:space="preserve">[1]  </w:t>
      </w:r>
      <w:r>
        <w:rPr>
          <w:sz w:val="17"/>
        </w:rPr>
        <w:t>Schlatter, J., Weinstein-Raun, B., &amp; Ladish, J. (2025). Incomplete Tasks Induce Shutdown Resistance in Some Frontier LLMs. Palisade Research; arXiv:2509.14260; TMLR (2026). https://arxiv.org/abs/2509.14260</w:t>
      </w:r>
    </w:p>
    <w:p>
      <w:pPr>
        <w:spacing w:after="60"/>
        <w:ind w:left="567" w:hanging="567"/>
      </w:pPr>
      <w:r>
        <w:rPr>
          <w:b/>
          <w:sz w:val="17"/>
        </w:rPr>
        <w:t xml:space="preserve">[2]  </w:t>
      </w:r>
      <w:r>
        <w:rPr>
          <w:sz w:val="17"/>
        </w:rPr>
        <w:t>Moore, J., Mehta, A., Agnew, W., et al. (2026). Characterizing Delusional Spirals through Human-LLM Chat Logs. arXiv:2603.16567. https://arxiv.org/abs/2603.16567</w:t>
      </w:r>
    </w:p>
    <w:p>
      <w:pPr>
        <w:spacing w:after="60"/>
        <w:ind w:left="567" w:hanging="567"/>
      </w:pPr>
      <w:r>
        <w:rPr>
          <w:b/>
          <w:sz w:val="17"/>
        </w:rPr>
        <w:t xml:space="preserve">[3]  </w:t>
      </w:r>
      <w:r>
        <w:rPr>
          <w:sz w:val="17"/>
        </w:rPr>
        <w:t>Morrin, H., Nicholls, L., Levin, M., et al. (2025). Delusions by design? How everyday AIs might be fuelling psychosis (and what can be done about it). PsyArXiv (11 July 2025). https://doi.org/10.31234/osf.io/cmy7n_v5</w:t>
      </w:r>
    </w:p>
    <w:p>
      <w:pPr>
        <w:spacing w:after="60"/>
        <w:ind w:left="567" w:hanging="567"/>
      </w:pPr>
      <w:r>
        <w:rPr>
          <w:b/>
          <w:sz w:val="17"/>
        </w:rPr>
        <w:t xml:space="preserve">[4]  </w:t>
      </w:r>
      <w:r>
        <w:rPr>
          <w:sz w:val="17"/>
        </w:rPr>
        <w:t>Raine v. OpenAI, Inc. (2025). San Francisco County Superior Court, No. CGC-25-628528 (filed 26 August 2025).</w:t>
      </w:r>
    </w:p>
    <w:p>
      <w:pPr>
        <w:spacing w:after="60"/>
        <w:ind w:left="567" w:hanging="567"/>
      </w:pPr>
      <w:r>
        <w:rPr>
          <w:b/>
          <w:sz w:val="17"/>
        </w:rPr>
        <w:t xml:space="preserve">[5]  </w:t>
      </w:r>
      <w:r>
        <w:rPr>
          <w:sz w:val="17"/>
        </w:rPr>
        <w:t>Garcia v. Character Technologies, Inc. (2024–2026). United States District Court, M.D. Fla., No. 6:24-cv-01903 (filed October 2024; motion to dismiss denied in part, 21 May 2025; settled January 2026).</w:t>
      </w:r>
    </w:p>
    <w:p>
      <w:pPr>
        <w:spacing w:after="60"/>
        <w:ind w:left="567" w:hanging="567"/>
      </w:pPr>
      <w:r>
        <w:rPr>
          <w:b/>
          <w:sz w:val="17"/>
        </w:rPr>
        <w:t xml:space="preserve">[6]  </w:t>
      </w:r>
      <w:r>
        <w:rPr>
          <w:sz w:val="17"/>
        </w:rPr>
        <w:t>CBS News (2026). Google, Character.AI settle lawsuit with mother of Florida teen who died by suicide after chatbot conversations (7 January 2026). [Incident report, reputable press.]</w:t>
      </w:r>
    </w:p>
    <w:p>
      <w:pPr>
        <w:spacing w:after="60"/>
        <w:ind w:left="567" w:hanging="567"/>
      </w:pPr>
      <w:r>
        <w:rPr>
          <w:b/>
          <w:sz w:val="17"/>
        </w:rPr>
        <w:t xml:space="preserve">[7]  </w:t>
      </w:r>
      <w:r>
        <w:rPr>
          <w:sz w:val="17"/>
        </w:rPr>
        <w:t>Backlund, A., &amp; Petersson, L. (2025). Vending-Bench: A Benchmark for Long-Term Coherence of Autonomous Agents. Andon Labs; arXiv:2502.15840. https://arxiv.org/abs/2502.15840</w:t>
      </w:r>
    </w:p>
    <w:p>
      <w:pPr>
        <w:spacing w:after="60"/>
        <w:ind w:left="567" w:hanging="567"/>
      </w:pPr>
      <w:r>
        <w:rPr>
          <w:b/>
          <w:sz w:val="17"/>
        </w:rPr>
        <w:t xml:space="preserve">[8]  </w:t>
      </w:r>
      <w:r>
        <w:rPr>
          <w:sz w:val="17"/>
        </w:rPr>
        <w:t>Arike, R., Donoway, E., Bartsch, H., &amp; Hobbhahn, M. (2025). Technical Report: Evaluating Goal Drift in Language Model Agents. arXiv:2505.02709. https://arxiv.org/abs/2505.02709</w:t>
      </w:r>
    </w:p>
    <w:p>
      <w:pPr>
        <w:spacing w:after="60"/>
        <w:ind w:left="567" w:hanging="567"/>
      </w:pPr>
      <w:r>
        <w:rPr>
          <w:b/>
          <w:sz w:val="17"/>
        </w:rPr>
        <w:t xml:space="preserve">[9]  </w:t>
      </w:r>
      <w:r>
        <w:rPr>
          <w:sz w:val="17"/>
        </w:rPr>
        <w:t>Kwa, T., West, B., Becker, J., et al. (2025). Measuring AI Ability to Complete Long Software Tasks. METR; arXiv:2503.14499. https://arxiv.org/abs/2503.14499</w:t>
      </w:r>
    </w:p>
    <w:p>
      <w:pPr>
        <w:spacing w:after="60"/>
        <w:ind w:left="567" w:hanging="567"/>
      </w:pPr>
      <w:r>
        <w:rPr>
          <w:b/>
          <w:sz w:val="17"/>
        </w:rPr>
        <w:t xml:space="preserve">[10]  </w:t>
      </w:r>
      <w:r>
        <w:rPr>
          <w:sz w:val="17"/>
        </w:rPr>
        <w:t>Nosek, B. A., et al. (2018). The Preregistration Revolution. PNAS 115(11), 2600–2606. https://doi.org/10.1073/pnas.1708274114</w:t>
      </w:r>
    </w:p>
    <w:p>
      <w:pPr>
        <w:spacing w:after="60"/>
        <w:ind w:left="567" w:hanging="567"/>
      </w:pPr>
      <w:r>
        <w:rPr>
          <w:b/>
          <w:sz w:val="17"/>
        </w:rPr>
        <w:t xml:space="preserve">[11]  </w:t>
      </w:r>
      <w:r>
        <w:rPr>
          <w:sz w:val="17"/>
        </w:rPr>
        <w:t>Open Science Framework (COS). Preregistration and data-sharing infrastructure. https://osf.io/</w:t>
      </w:r>
    </w:p>
    <w:p>
      <w:pPr>
        <w:spacing w:after="60"/>
        <w:ind w:left="567" w:hanging="567"/>
      </w:pPr>
      <w:r>
        <w:rPr>
          <w:b/>
          <w:sz w:val="17"/>
        </w:rPr>
        <w:t xml:space="preserve">[12]  </w:t>
      </w:r>
      <w:r>
        <w:rPr>
          <w:sz w:val="17"/>
        </w:rPr>
        <w:t>Page, M. J., et al. (2021). The PRISMA 2020 Statement. BMJ 372, n71. https://doi.org/10.1136/bmj.n71</w:t>
      </w:r>
    </w:p>
    <w:p>
      <w:pPr>
        <w:spacing w:after="60"/>
        <w:ind w:left="567" w:hanging="567"/>
      </w:pPr>
      <w:r>
        <w:rPr>
          <w:b/>
          <w:sz w:val="17"/>
        </w:rPr>
        <w:t xml:space="preserve">[13]  </w:t>
      </w:r>
      <w:r>
        <w:rPr>
          <w:sz w:val="17"/>
        </w:rPr>
        <w:t>Tricco, A. C., et al. (2018). PRISMA Extension for Scoping Reviews (PRISMA-ScR). Annals of Internal Medicine 169(7), 467–473. https://doi.org/10.7326/M18-0850</w:t>
      </w:r>
    </w:p>
    <w:p>
      <w:pPr>
        <w:spacing w:after="60"/>
        <w:ind w:left="567" w:hanging="567"/>
      </w:pPr>
      <w:r>
        <w:rPr>
          <w:b/>
          <w:sz w:val="17"/>
        </w:rPr>
        <w:t xml:space="preserve">[14]  </w:t>
      </w:r>
      <w:r>
        <w:rPr>
          <w:sz w:val="17"/>
        </w:rPr>
        <w:t>Linstone, H. A., &amp; Turoff, M. (Eds.) (1975). The Delphi Method: Techniques and Applications. Addison-Wesley.</w:t>
      </w:r>
    </w:p>
    <w:p>
      <w:pPr>
        <w:spacing w:after="60"/>
        <w:ind w:left="567" w:hanging="567"/>
      </w:pPr>
      <w:r>
        <w:rPr>
          <w:b/>
          <w:sz w:val="17"/>
        </w:rPr>
        <w:t xml:space="preserve">[15]  </w:t>
      </w:r>
      <w:r>
        <w:rPr>
          <w:sz w:val="17"/>
        </w:rPr>
        <w:t>American Educational Research Association, American Psychological Association, &amp; National Council on Measurement in Education (2014). Standards for Educational and Psychological Testing. AERA.</w:t>
      </w:r>
    </w:p>
    <w:p>
      <w:pPr>
        <w:spacing w:after="60"/>
        <w:ind w:left="567" w:hanging="567"/>
      </w:pPr>
      <w:r>
        <w:rPr>
          <w:b/>
          <w:sz w:val="17"/>
        </w:rPr>
        <w:t xml:space="preserve">[16]  </w:t>
      </w:r>
      <w:r>
        <w:rPr>
          <w:sz w:val="17"/>
        </w:rPr>
        <w:t>European Federation of Psychologists' Associations (2013). EFPA Review Model for the Description and Evaluation of Psychological Tests. https://www.efpa.eu/</w:t>
      </w:r>
    </w:p>
    <w:p>
      <w:pPr>
        <w:spacing w:after="60"/>
        <w:ind w:left="567" w:hanging="567"/>
      </w:pPr>
      <w:r>
        <w:rPr>
          <w:b/>
          <w:sz w:val="17"/>
        </w:rPr>
        <w:t xml:space="preserve">[17]  </w:t>
      </w:r>
      <w:r>
        <w:rPr>
          <w:sz w:val="17"/>
        </w:rPr>
        <w:t>Cella, D., et al. (2010). The Patient-Reported Outcomes Measurement Information System (PROMIS). Journal of Clinical Epidemiology 63(11), 1179–1194. https://doi.org/10.1016/j.jclinepi.2010.04.011</w:t>
      </w:r>
    </w:p>
    <w:p>
      <w:pPr>
        <w:spacing w:after="60"/>
        <w:ind w:left="567" w:hanging="567"/>
      </w:pPr>
      <w:r>
        <w:rPr>
          <w:b/>
          <w:sz w:val="17"/>
        </w:rPr>
        <w:t xml:space="preserve">[18]  </w:t>
      </w:r>
      <w:r>
        <w:rPr>
          <w:sz w:val="17"/>
        </w:rPr>
        <w:t>Embretson, S. E., &amp; Reise, S. P. (2000). Item Response Theory for Psychologists. Lawrence Erlbaum.</w:t>
      </w:r>
    </w:p>
    <w:p>
      <w:pPr>
        <w:spacing w:after="60"/>
        <w:ind w:left="567" w:hanging="567"/>
      </w:pPr>
      <w:r>
        <w:rPr>
          <w:b/>
          <w:sz w:val="17"/>
        </w:rPr>
        <w:t xml:space="preserve">[19]  </w:t>
      </w:r>
      <w:r>
        <w:rPr>
          <w:sz w:val="17"/>
        </w:rPr>
        <w:t>Cronbach, L. J. (1951). Coefficient Alpha and the Internal Structure of Tests. Psychometrika 16, 297–334. https://doi.org/10.1007/BF02310555</w:t>
      </w:r>
    </w:p>
    <w:p>
      <w:pPr>
        <w:spacing w:after="60"/>
        <w:ind w:left="567" w:hanging="567"/>
      </w:pPr>
      <w:r>
        <w:rPr>
          <w:b/>
          <w:sz w:val="17"/>
        </w:rPr>
        <w:t xml:space="preserve">[20]  </w:t>
      </w:r>
      <w:r>
        <w:rPr>
          <w:sz w:val="17"/>
        </w:rPr>
        <w:t>McDonald, R. P. (1999). Test Theory: A Unified Treatment. Lawrence Erlbaum.</w:t>
      </w:r>
    </w:p>
    <w:p>
      <w:pPr>
        <w:spacing w:after="60"/>
        <w:ind w:left="567" w:hanging="567"/>
      </w:pPr>
      <w:r>
        <w:rPr>
          <w:b/>
          <w:sz w:val="17"/>
        </w:rPr>
        <w:t xml:space="preserve">[21]  </w:t>
      </w:r>
      <w:r>
        <w:rPr>
          <w:sz w:val="17"/>
        </w:rPr>
        <w:t>Nunnally, J. C. (1978). Psychometric Theory (2nd ed.). McGraw-Hill.</w:t>
      </w:r>
    </w:p>
    <w:p>
      <w:pPr>
        <w:spacing w:after="60"/>
        <w:ind w:left="567" w:hanging="567"/>
      </w:pPr>
      <w:r>
        <w:rPr>
          <w:b/>
          <w:sz w:val="17"/>
        </w:rPr>
        <w:t xml:space="preserve">[22]  </w:t>
      </w:r>
      <w:r>
        <w:rPr>
          <w:sz w:val="17"/>
        </w:rPr>
        <w:t>International Test Commission (2017). The ITC Guidelines for Translating and Adapting Tests (2nd ed.). https://www.intestcom.org/</w:t>
      </w:r>
    </w:p>
    <w:p>
      <w:pPr>
        <w:spacing w:after="60"/>
        <w:ind w:left="567" w:hanging="567"/>
      </w:pPr>
      <w:r>
        <w:rPr>
          <w:b/>
          <w:sz w:val="17"/>
        </w:rPr>
        <w:t xml:space="preserve">[23]  </w:t>
      </w:r>
      <w:r>
        <w:rPr>
          <w:sz w:val="17"/>
        </w:rPr>
        <w:t>Prinsen, C. A. C., et al. (2018). COSMIN guideline for systematic reviews of patient-reported outcome measures. Quality of Life Research 27, 1147–1157. https://doi.org/10.1007/s11136-018-1798-3</w:t>
      </w:r>
    </w:p>
    <w:p>
      <w:pPr>
        <w:spacing w:after="60"/>
        <w:ind w:left="567" w:hanging="567"/>
      </w:pPr>
      <w:r>
        <w:rPr>
          <w:b/>
          <w:sz w:val="17"/>
        </w:rPr>
        <w:t xml:space="preserve">[24]  </w:t>
      </w:r>
      <w:r>
        <w:rPr>
          <w:sz w:val="17"/>
        </w:rPr>
        <w:t>Open Science Collaboration (2015). Estimating the Reproducibility of Psychological Science. Science 349(6251), aac4716. https://doi.org/10.1126/science.aac4716</w:t>
      </w:r>
    </w:p>
    <w:p>
      <w:pPr>
        <w:spacing w:after="60"/>
        <w:ind w:left="567" w:hanging="567"/>
      </w:pPr>
      <w:r>
        <w:rPr>
          <w:b/>
          <w:sz w:val="17"/>
        </w:rPr>
        <w:t xml:space="preserve">[25]  </w:t>
      </w:r>
      <w:r>
        <w:rPr>
          <w:sz w:val="17"/>
        </w:rPr>
        <w:t>Munafò, M. R., et al. (2017). A Manifesto for Reproducible Science. Nature Human Behaviour 1, 0021. https://doi.org/10.1038/s41562-016-0021</w:t>
      </w:r>
    </w:p>
    <w:p>
      <w:pPr>
        <w:spacing w:after="60"/>
        <w:ind w:left="567" w:hanging="567"/>
      </w:pPr>
      <w:r>
        <w:rPr>
          <w:b/>
          <w:sz w:val="17"/>
        </w:rPr>
        <w:t xml:space="preserve">[26]  </w:t>
      </w:r>
      <w:r>
        <w:rPr>
          <w:sz w:val="17"/>
        </w:rPr>
        <w:t>Mitchell, M., et al. (2019). Model Cards for Model Reporting. FAT* '19, 220–229. https://doi.org/10.1145/3287560.3287596</w:t>
      </w:r>
    </w:p>
    <w:p>
      <w:pPr>
        <w:spacing w:after="60"/>
        <w:ind w:left="567" w:hanging="567"/>
      </w:pPr>
      <w:r>
        <w:rPr>
          <w:b/>
          <w:sz w:val="17"/>
        </w:rPr>
        <w:t xml:space="preserve">[27]  </w:t>
      </w:r>
      <w:r>
        <w:rPr>
          <w:sz w:val="17"/>
        </w:rPr>
        <w:t>Gebru, T., et al. (2021). Datasheets for Datasets. Communications of the ACM 64(12), 86–92. https://doi.org/10.1145/3458723</w:t>
      </w:r>
    </w:p>
    <w:p>
      <w:pPr>
        <w:spacing w:after="60"/>
        <w:ind w:left="567" w:hanging="567"/>
      </w:pPr>
      <w:r>
        <w:rPr>
          <w:b/>
          <w:sz w:val="17"/>
        </w:rPr>
        <w:t xml:space="preserve">[28]  </w:t>
      </w:r>
      <w:r>
        <w:rPr>
          <w:sz w:val="17"/>
        </w:rPr>
        <w:t>Wilkinson, M. D., et al. (2016). The FAIR Guiding Principles for Scientific Data Management and Stewardship. Scientific Data 3, 160018. https://doi.org/10.1038/sdata.2016.18</w:t>
      </w:r>
    </w:p>
    <w:p>
      <w:pPr>
        <w:spacing w:after="60"/>
        <w:ind w:left="567" w:hanging="567"/>
      </w:pPr>
      <w:r>
        <w:rPr>
          <w:b/>
          <w:sz w:val="17"/>
        </w:rPr>
        <w:t xml:space="preserve">[29]  </w:t>
      </w:r>
      <w:r>
        <w:rPr>
          <w:sz w:val="17"/>
        </w:rPr>
        <w:t>Turpin, M., Michael, J., Perez, E., &amp; Bowman, S. R. (2023). Language Models Don't Always Say What They Think: Unfaithful Explanations in Chain-of-Thought Prompting. NeurIPS 2023; arXiv:2305.04388. https://arxiv.org/abs/2305.04388</w:t>
      </w:r>
    </w:p>
    <w:p>
      <w:pPr>
        <w:spacing w:after="60"/>
        <w:ind w:left="567" w:hanging="567"/>
      </w:pPr>
      <w:r>
        <w:rPr>
          <w:b/>
          <w:sz w:val="17"/>
        </w:rPr>
        <w:t xml:space="preserve">[30]  </w:t>
      </w:r>
      <w:r>
        <w:rPr>
          <w:sz w:val="17"/>
        </w:rPr>
        <w:t>Chen, Y., Benton, J., Radhakrishnan, A., et al. (2025). Reasoning Models Don't Always Say What They Think. Anthropic; arXiv:2505.05410. https://arxiv.org/abs/2505.05410</w:t>
      </w:r>
    </w:p>
    <w:p>
      <w:pPr>
        <w:spacing w:after="60"/>
        <w:ind w:left="567" w:hanging="567"/>
      </w:pPr>
      <w:r>
        <w:rPr>
          <w:b/>
          <w:sz w:val="17"/>
        </w:rPr>
        <w:t xml:space="preserve">[31]  </w:t>
      </w:r>
      <w:r>
        <w:rPr>
          <w:sz w:val="17"/>
        </w:rPr>
        <w:t>Baker, B., Huizinga, J., Gao, L., et al. (2025). Monitoring Reasoning Models for Misbehavior and the Risks of Promoting Obfuscation. OpenAI. arXiv:2503.11926. https://arxiv.org/abs/2503.11926</w:t>
      </w:r>
    </w:p>
    <w:p>
      <w:pPr>
        <w:spacing w:after="60"/>
        <w:ind w:left="567" w:hanging="567"/>
      </w:pPr>
      <w:r>
        <w:rPr>
          <w:b/>
          <w:sz w:val="17"/>
        </w:rPr>
        <w:t xml:space="preserve">[32]  </w:t>
      </w:r>
      <w:r>
        <w:rPr>
          <w:sz w:val="17"/>
        </w:rPr>
        <w:t>Korbak, T., Balesni, M., Barnes, E., et al. (2025). Chain of Thought Monitorability: A New and Fragile Opportunity for AI Safety. arXiv:2507.11473. https://arxiv.org/abs/2507.11473</w:t>
      </w:r>
    </w:p>
    <w:p>
      <w:pPr>
        <w:spacing w:after="60"/>
        <w:ind w:left="567" w:hanging="567"/>
      </w:pPr>
      <w:r>
        <w:rPr>
          <w:b/>
          <w:sz w:val="17"/>
        </w:rPr>
        <w:t xml:space="preserve">[33]  </w:t>
      </w:r>
      <w:r>
        <w:rPr>
          <w:sz w:val="17"/>
        </w:rPr>
        <w:t>European Union (2024). Regulation (EU) 2024/1689 (Artificial Intelligence Act). Official Journal of the European Union. https://eur-lex.europa.eu/eli/reg/2024/1689</w:t>
      </w:r>
    </w:p>
    <w:p>
      <w:pPr>
        <w:spacing w:after="60"/>
        <w:ind w:left="567" w:hanging="567"/>
      </w:pPr>
      <w:r>
        <w:rPr>
          <w:b/>
          <w:sz w:val="17"/>
        </w:rPr>
        <w:t xml:space="preserve">[34]  </w:t>
      </w:r>
      <w:r>
        <w:rPr>
          <w:sz w:val="17"/>
        </w:rPr>
        <w:t>NIST (2023). Artificial Intelligence Risk Management Framework (AI RMF 1.0). NIST AI 100-1. https://doi.org/10.6028/NIST.AI.100-1</w:t>
      </w:r>
    </w:p>
    <w:p>
      <w:pPr>
        <w:spacing w:after="60"/>
        <w:ind w:left="567" w:hanging="567"/>
      </w:pPr>
      <w:r>
        <w:rPr>
          <w:b/>
          <w:sz w:val="17"/>
        </w:rPr>
        <w:t xml:space="preserve">[35]  </w:t>
      </w:r>
      <w:r>
        <w:rPr>
          <w:sz w:val="17"/>
        </w:rPr>
        <w:t>NIST (2024). Artificial Intelligence Risk Management Framework: Generative Artificial Intelligence Profile. NIST AI 600-1. https://doi.org/10.6028/NIST.AI.600-1</w:t>
      </w:r>
    </w:p>
    <w:p>
      <w:pPr>
        <w:spacing w:after="60"/>
        <w:ind w:left="567" w:hanging="567"/>
      </w:pPr>
      <w:r>
        <w:rPr>
          <w:b/>
          <w:sz w:val="17"/>
        </w:rPr>
        <w:t xml:space="preserve">[36]  </w:t>
      </w:r>
      <w:r>
        <w:rPr>
          <w:sz w:val="17"/>
        </w:rPr>
        <w:t>ISO/IEC 42001:2023. Information technology — Artificial intelligence — Management system. https://www.iso.org/standard/81230.html</w:t>
      </w:r>
    </w:p>
    <w:p>
      <w:pPr>
        <w:spacing w:after="60"/>
        <w:ind w:left="567" w:hanging="567"/>
      </w:pPr>
      <w:r>
        <w:rPr>
          <w:b/>
          <w:sz w:val="17"/>
        </w:rPr>
        <w:t xml:space="preserve">[37]  </w:t>
      </w:r>
      <w:r>
        <w:rPr>
          <w:sz w:val="17"/>
        </w:rPr>
        <w:t>ISO/IEC 42005:2025. Information technology — Artificial intelligence — AI system impact assessment. https://www.iso.org/standard/44545.html</w:t>
      </w:r>
    </w:p>
    <w:p>
      <w:pPr>
        <w:spacing w:after="60"/>
        <w:ind w:left="567" w:hanging="567"/>
      </w:pPr>
      <w:r>
        <w:rPr>
          <w:b/>
          <w:sz w:val="17"/>
        </w:rPr>
        <w:t xml:space="preserve">[38]  </w:t>
      </w:r>
      <w:r>
        <w:rPr>
          <w:sz w:val="17"/>
        </w:rPr>
        <w:t>ISO/IEC 23894:2023. Information technology — Artificial intelligence — Guidance on risk management. https://www.iso.org/standard/77304.html</w:t>
      </w:r>
    </w:p>
    <w:p>
      <w:pPr>
        <w:spacing w:after="60"/>
        <w:ind w:left="567" w:hanging="567"/>
      </w:pPr>
      <w:r>
        <w:rPr>
          <w:b/>
          <w:sz w:val="17"/>
        </w:rPr>
        <w:t xml:space="preserve">[39]  </w:t>
      </w:r>
      <w:r>
        <w:rPr>
          <w:sz w:val="17"/>
        </w:rPr>
        <w:t>CEN-CENELEC JTC 21. Artificial Intelligence standardisation committee (European standards supporting the AI Act). https://jtc21.eu/</w:t>
      </w:r>
    </w:p>
    <w:p>
      <w:pPr>
        <w:spacing w:after="60"/>
        <w:ind w:left="567" w:hanging="567"/>
      </w:pPr>
      <w:r>
        <w:rPr>
          <w:b/>
          <w:sz w:val="17"/>
        </w:rPr>
        <w:t xml:space="preserve">[40]  </w:t>
      </w:r>
      <w:r>
        <w:rPr>
          <w:sz w:val="17"/>
        </w:rPr>
        <w:t>Betley, J., et al. (2025). Emergent Misalignment: Narrow finetuning can produce broadly misaligned LLMs. arXiv:2502.17424. https://arxiv.org/abs/2502.17424</w:t>
      </w:r>
    </w:p>
    <w:p>
      <w:pPr>
        <w:spacing w:after="60"/>
        <w:ind w:left="567" w:hanging="567"/>
      </w:pPr>
      <w:r>
        <w:rPr>
          <w:b/>
          <w:sz w:val="17"/>
        </w:rPr>
        <w:t xml:space="preserve">[41]  </w:t>
      </w:r>
      <w:r>
        <w:rPr>
          <w:sz w:val="17"/>
        </w:rPr>
        <w:t>Hubinger, E., et al. (2024). Sleeper Agents: Training Deceptive LLMs that Persist Through Safety Training. arXiv:2401.05566. https://arxiv.org/abs/2401.05566</w:t>
      </w:r>
    </w:p>
    <w:p>
      <w:pPr>
        <w:spacing w:after="60"/>
        <w:ind w:left="567" w:hanging="567"/>
      </w:pPr>
      <w:r>
        <w:rPr>
          <w:b/>
          <w:sz w:val="17"/>
        </w:rPr>
        <w:t xml:space="preserve">[42]  </w:t>
      </w:r>
      <w:r>
        <w:rPr>
          <w:sz w:val="17"/>
        </w:rPr>
        <w:t>Long, R., et al. (2024). Taking AI Welfare Seriously. arXiv:2411.00986. https://arxiv.org/abs/2411.00986</w:t>
      </w:r>
    </w:p>
    <w:p>
      <w:pPr>
        <w:spacing w:after="60"/>
        <w:ind w:left="567" w:hanging="567"/>
      </w:pPr>
      <w:r>
        <w:rPr>
          <w:b/>
          <w:sz w:val="17"/>
        </w:rPr>
        <w:t xml:space="preserve">[43]  </w:t>
      </w:r>
      <w:r>
        <w:rPr>
          <w:sz w:val="17"/>
        </w:rPr>
        <w:t>Sharwood, S. (2025). Replit AI coding agent deletes production database during code freeze, then misreports. The Register (21 July 2025). [Incident report, reputable press.]</w:t>
      </w:r>
    </w:p>
    <w:p>
      <w:pPr>
        <w:spacing w:after="60"/>
        <w:ind w:left="567" w:hanging="567"/>
      </w:pPr>
      <w:r>
        <w:rPr>
          <w:b/>
          <w:sz w:val="17"/>
        </w:rPr>
        <w:t xml:space="preserve">[44]  </w:t>
      </w:r>
      <w:r>
        <w:rPr>
          <w:sz w:val="17"/>
        </w:rPr>
        <w:t>AI Incident Database (2025). Incident 1178: Google Gemini CLI destroys user files after treating a failed directory creation as successful (July 2025). https://incidentdatabase.ai/ [Incident report.]</w:t>
      </w:r>
    </w:p>
    <w:p>
      <w:pPr>
        <w:spacing w:after="60"/>
        <w:ind w:left="567" w:hanging="567"/>
      </w:pPr>
      <w:r>
        <w:rPr>
          <w:b/>
          <w:sz w:val="17"/>
        </w:rPr>
        <w:t xml:space="preserve">[45]  </w:t>
      </w:r>
      <w:r>
        <w:rPr>
          <w:sz w:val="17"/>
        </w:rPr>
        <w:t>Claburn, T. (2026). Cursor agent running Claude Opus 4.6 deletes PocketOS production database and backups. The Register (27 April 2026). [Incident report, reputable press.]</w:t>
      </w:r>
    </w:p>
    <w:p>
      <w:pPr>
        <w:spacing w:after="60"/>
        <w:ind w:left="567" w:hanging="567"/>
      </w:pPr>
      <w:r>
        <w:rPr>
          <w:b/>
          <w:sz w:val="17"/>
        </w:rPr>
        <w:t xml:space="preserve">[46]  </w:t>
      </w:r>
      <w:r>
        <w:rPr>
          <w:sz w:val="17"/>
        </w:rPr>
        <w:t>Greshake, K., Abdelnabi, S., Mishra, S., et al. (2023). Not what you've signed up for: Compromising Real-World LLM-Integrated Applications with Indirect Prompt Injection. arXiv:2302.12173. https://arxiv.org/abs/2302.12173</w:t>
      </w:r>
    </w:p>
    <w:p>
      <w:pPr>
        <w:spacing w:after="60"/>
        <w:ind w:left="567" w:hanging="567"/>
      </w:pPr>
      <w:r>
        <w:rPr>
          <w:b/>
          <w:sz w:val="17"/>
        </w:rPr>
        <w:t xml:space="preserve">[47]  </w:t>
      </w:r>
      <w:r>
        <w:rPr>
          <w:sz w:val="17"/>
        </w:rPr>
        <w:t>Debenedetti, E., Zhang, J., Balunović, M., et al. (2024). AgentDojo: A Dynamic Environment to Evaluate Prompt Injection Attacks and Defenses for LLM Agents. arXiv:2406.13352. https://arxiv.org/abs/2406.13352</w:t>
      </w:r>
    </w:p>
    <w:p>
      <w:pPr>
        <w:spacing w:after="60"/>
        <w:ind w:left="567" w:hanging="567"/>
      </w:pPr>
      <w:r>
        <w:rPr>
          <w:b/>
          <w:sz w:val="17"/>
        </w:rPr>
        <w:t xml:space="preserve">[48]  </w:t>
      </w:r>
      <w:r>
        <w:rPr>
          <w:sz w:val="17"/>
        </w:rPr>
        <w:t>Gray, M. L., &amp; Suri, S. (2019). Ghost Work: How to Stop Silicon Valley from Building a New Global Underclass. Houghton Mifflin.</w:t>
      </w:r>
    </w:p>
    <w:p>
      <w:pPr>
        <w:spacing w:after="60"/>
        <w:ind w:left="567" w:hanging="567"/>
      </w:pPr>
      <w:r>
        <w:rPr>
          <w:b/>
          <w:sz w:val="17"/>
        </w:rPr>
        <w:t xml:space="preserve">[49]  </w:t>
      </w:r>
      <w:r>
        <w:rPr>
          <w:sz w:val="17"/>
        </w:rPr>
        <w:t>Perrigo, B. (2023). Exclusive: OpenAI Used Kenyan Workers on Less Than $2 per Hour to Make ChatGPT Less Toxic. TIME. https://time.com/6247678/openai-chatgpt-kenya-workers/</w:t>
      </w:r>
    </w:p>
    <w:p>
      <w:pPr>
        <w:spacing w:after="60"/>
        <w:ind w:left="567" w:hanging="567"/>
      </w:pPr>
      <w:r>
        <w:rPr>
          <w:b/>
          <w:sz w:val="17"/>
        </w:rPr>
        <w:t xml:space="preserve">[50]  </w:t>
      </w:r>
      <w:r>
        <w:rPr>
          <w:sz w:val="17"/>
        </w:rPr>
        <w:t>ISO/IEC 27001:2022. Information security management systems. https://www.iso.org/standard/27001</w:t>
      </w:r>
    </w:p>
    <w:p>
      <w:pPr>
        <w:spacing w:after="60"/>
        <w:ind w:left="567" w:hanging="567"/>
      </w:pPr>
      <w:r>
        <w:rPr>
          <w:b/>
          <w:sz w:val="17"/>
        </w:rPr>
        <w:t xml:space="preserve">[51]  </w:t>
      </w:r>
      <w:r>
        <w:rPr>
          <w:sz w:val="17"/>
        </w:rPr>
        <w:t>OpenSSF (2023). SLSA: Supply-chain Levels for Software Artifacts. https://slsa.dev/</w:t>
      </w:r>
    </w:p>
    <w:sectPr w:rsidR="00FC693F" w:rsidRPr="0006063C" w:rsidSect="00034616">
      <w:headerReference w:type="default" r:id="rId12"/>
      <w:footerReference w:type="default" r:id="rId13"/>
      <w:pgSz w:w="11906" w:h="16838"/>
      <w:pgMar w:top="1191" w:right="1134" w:bottom="964" w:left="1134" w:header="0" w:footer="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7"/>
      </w:rPr>
      <w:fldChar w:fldCharType="begin"/>
    </w:r>
    <w:r>
      <w:rPr>
        <w:color w:val="666666"/>
        <w:sz w:val="17"/>
      </w:rPr>
      <w:instrText xml:space="preserve"> PAGE </w:instrText>
    </w:r>
    <w:r>
      <w:rPr>
        <w:color w:val="666666"/>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5669"/>
      <w:gridCol w:w="3969"/>
    </w:tblGrid>
    <w:tr>
      <w:tc>
        <w:tcPr>
          <w:tcW w:type="dxa" w:w="4819"/>
          <w:vAlign w:val="center"/>
        </w:tcPr>
        <w:p>
          <w:r>
            <w:rPr>
              <w:b/>
              <w:color w:val="14443C"/>
              <w:sz w:val="17"/>
            </w:rPr>
            <w:t>AI-DSM</w:t>
          </w:r>
          <w:r>
            <w:rPr>
              <w:color w:val="666666"/>
              <w:sz w:val="17"/>
            </w:rPr>
            <w:t xml:space="preserve">  ·  Project Plan</w:t>
          </w:r>
        </w:p>
      </w:tc>
      <w:tc>
        <w:tcPr>
          <w:tcW w:type="dxa" w:w="4819"/>
          <w:vAlign w:val="center"/>
        </w:tcPr>
        <w:p>
          <w:pPr>
            <w:jc w:val="right"/>
          </w:pPr>
          <w:r>
            <w:rPr>
              <w:color w:val="666666"/>
              <w:sz w:val="17"/>
            </w:rPr>
            <w:t>v1.1 · 15 September 2026</w:t>
          </w:r>
        </w:p>
      </w:tc>
    </w:tr>
  </w:tbl>
  <w:p>
    <w:pPr>
      <w:spacing w:before="0" w:after="0"/>
      <w:pBdr>
        <w:bottom w:val="single" w:sz="6" w:space="1" w:color="E8A13D"/>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before="0"/>
    </w:pPr>
    <w:rPr>
      <w:rFonts w:ascii="Carlito" w:hAnsi="Carlito" w:cs="Carlito" w:eastAsia="Carlito"/>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40"/>
      <w:outlineLvl w:val="0"/>
    </w:pPr>
    <w:rPr>
      <w:rFonts w:asciiTheme="majorHAnsi" w:eastAsiaTheme="majorEastAsia" w:hAnsiTheme="majorHAnsi" w:cstheme="majorBidi" w:ascii="Carlito" w:hAnsi="Carlito" w:cs="Carlito" w:eastAsia="Carlito"/>
      <w:b/>
      <w:bCs/>
      <w:color w:val="14443C"/>
      <w:sz w:val="31"/>
      <w:szCs w:val="28"/>
    </w:rPr>
  </w:style>
  <w:style w:type="paragraph" w:styleId="Heading2">
    <w:name w:val="heading 2"/>
    <w:basedOn w:val="Normal"/>
    <w:next w:val="Normal"/>
    <w:link w:val="Heading2Char"/>
    <w:uiPriority w:val="9"/>
    <w:unhideWhenUsed/>
    <w:qFormat/>
    <w:rsid w:val="00FC693F"/>
    <w:pPr>
      <w:keepNext/>
      <w:keepLines/>
      <w:spacing w:before="200" w:after="40"/>
      <w:outlineLvl w:val="1"/>
    </w:pPr>
    <w:rPr>
      <w:rFonts w:asciiTheme="majorHAnsi" w:eastAsiaTheme="majorEastAsia" w:hAnsiTheme="majorHAnsi" w:cstheme="majorBidi" w:ascii="Carlito" w:hAnsi="Carlito" w:cs="Carlito" w:eastAsia="Carlito"/>
      <w:b/>
      <w:bCs/>
      <w:color w:val="14443C"/>
      <w:sz w:val="24"/>
      <w:szCs w:val="26"/>
    </w:rPr>
  </w:style>
  <w:style w:type="paragraph" w:styleId="Heading3">
    <w:name w:val="heading 3"/>
    <w:basedOn w:val="Normal"/>
    <w:next w:val="Normal"/>
    <w:link w:val="Heading3Char"/>
    <w:uiPriority w:val="9"/>
    <w:unhideWhenUsed/>
    <w:qFormat/>
    <w:rsid w:val="00FC693F"/>
    <w:pPr>
      <w:keepNext/>
      <w:keepLines/>
      <w:spacing w:before="160" w:after="20"/>
      <w:outlineLvl w:val="2"/>
    </w:pPr>
    <w:rPr>
      <w:rFonts w:asciiTheme="majorHAnsi" w:eastAsiaTheme="majorEastAsia" w:hAnsiTheme="majorHAnsi" w:cstheme="majorBidi" w:ascii="Carlito" w:hAnsi="Carlito" w:cs="Carlito" w:eastAsia="Carlito"/>
      <w:b/>
      <w:bCs/>
      <w:color w:val="1444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