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8C9B8" w14:textId="77777777" w:rsidR="00C533A2" w:rsidRDefault="00FF3267">
      <w:pPr>
        <w:spacing w:after="0" w:line="240" w:lineRule="auto"/>
        <w:jc w:val="center"/>
      </w:pPr>
      <w:r>
        <w:rPr>
          <w:noProof/>
        </w:rPr>
        <w:drawing>
          <wp:anchor distT="0" distB="0" distL="114300" distR="114300" simplePos="0" relativeHeight="251658240" behindDoc="0" locked="0" layoutInCell="1" allowOverlap="1" wp14:anchorId="65873C73" wp14:editId="48462044">
            <wp:simplePos x="0" y="0"/>
            <wp:positionH relativeFrom="column">
              <wp:posOffset>0</wp:posOffset>
            </wp:positionH>
            <wp:positionV relativeFrom="paragraph">
              <wp:posOffset>-154305</wp:posOffset>
            </wp:positionV>
            <wp:extent cx="7552294" cy="1070864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proposal.png"/>
                    <pic:cNvPicPr/>
                  </pic:nvPicPr>
                  <pic:blipFill>
                    <a:blip r:embed="rId8"/>
                    <a:stretch>
                      <a:fillRect/>
                    </a:stretch>
                  </pic:blipFill>
                  <pic:spPr>
                    <a:xfrm>
                      <a:off x="0" y="0"/>
                      <a:ext cx="7557948" cy="10716657"/>
                    </a:xfrm>
                    <a:prstGeom prst="rect">
                      <a:avLst/>
                    </a:prstGeom>
                  </pic:spPr>
                </pic:pic>
              </a:graphicData>
            </a:graphic>
            <wp14:sizeRelH relativeFrom="page">
              <wp14:pctWidth>0</wp14:pctWidth>
            </wp14:sizeRelH>
            <wp14:sizeRelV relativeFrom="page">
              <wp14:pctHeight>0</wp14:pctHeight>
            </wp14:sizeRelV>
          </wp:anchor>
        </w:drawing>
      </w:r>
    </w:p>
    <w:p w14:paraId="4E3F683E" w14:textId="77777777" w:rsidR="00C533A2" w:rsidRDefault="00C533A2">
      <w:pPr>
        <w:sectPr w:rsidR="00C533A2">
          <w:headerReference w:type="default" r:id="rId9"/>
          <w:footerReference w:type="default" r:id="rId10"/>
          <w:pgSz w:w="11906" w:h="16838"/>
          <w:pgMar w:top="0" w:right="0" w:bottom="0" w:left="0" w:header="0" w:footer="0" w:gutter="0"/>
          <w:cols w:space="720"/>
          <w:docGrid w:linePitch="360"/>
        </w:sectPr>
      </w:pPr>
    </w:p>
    <w:p w14:paraId="718EE88A" w14:textId="77777777" w:rsidR="00C533A2" w:rsidRDefault="00FF3267">
      <w:pPr>
        <w:pStyle w:val="Heading1"/>
      </w:pPr>
      <w:r>
        <w:lastRenderedPageBreak/>
        <w:t>Contents</w:t>
      </w:r>
    </w:p>
    <w:p w14:paraId="127BE40E" w14:textId="77777777" w:rsidR="00C533A2" w:rsidRDefault="00C533A2">
      <w:pPr>
        <w:pBdr>
          <w:bottom w:val="single" w:sz="16" w:space="0" w:color="F2B84B"/>
        </w:pBdr>
        <w:spacing w:after="140" w:line="40" w:lineRule="exact"/>
      </w:pPr>
    </w:p>
    <w:p w14:paraId="35E8B28C" w14:textId="77777777" w:rsidR="00C533A2" w:rsidRDefault="00FF3267">
      <w:r>
        <w:fldChar w:fldCharType="begin"/>
      </w:r>
      <w:r>
        <w:instrText xml:space="preserve"> TOC \o "1-3" \h \z \u </w:instrText>
      </w:r>
      <w:r>
        <w:fldChar w:fldCharType="separate"/>
      </w:r>
      <w:r>
        <w:rPr>
          <w:b/>
          <w:color w:val="1B2450"/>
          <w:sz w:val="18"/>
        </w:rPr>
        <w:t>1. Executive summary</w:t>
      </w:r>
      <w:r>
        <w:rPr>
          <w:color w:val="444444"/>
          <w:sz w:val="18"/>
        </w:rPr>
        <w:tab/>
        <w:t>3</w:t>
      </w:r>
    </w:p>
    <w:p w14:paraId="3B1666F2" w14:textId="77777777" w:rsidR="00C533A2" w:rsidRDefault="00FF3267">
      <w:pPr>
        <w:tabs>
          <w:tab w:val="right" w:leader="dot" w:pos="9638"/>
        </w:tabs>
        <w:spacing w:after="30"/>
      </w:pPr>
      <w:r>
        <w:rPr>
          <w:b/>
          <w:color w:val="1B2450"/>
          <w:sz w:val="18"/>
        </w:rPr>
        <w:t>2. Plain-language summary</w:t>
      </w:r>
      <w:r>
        <w:rPr>
          <w:color w:val="444444"/>
          <w:sz w:val="18"/>
        </w:rPr>
        <w:tab/>
        <w:t>3</w:t>
      </w:r>
    </w:p>
    <w:p w14:paraId="657833B2" w14:textId="77777777" w:rsidR="00C533A2" w:rsidRDefault="00FF3267">
      <w:pPr>
        <w:tabs>
          <w:tab w:val="right" w:leader="dot" w:pos="9638"/>
        </w:tabs>
        <w:spacing w:after="30"/>
        <w:ind w:left="312"/>
      </w:pPr>
      <w:r>
        <w:rPr>
          <w:color w:val="333333"/>
          <w:sz w:val="17"/>
        </w:rPr>
        <w:t>2.1 The problem, in ordinary words</w:t>
      </w:r>
      <w:r>
        <w:rPr>
          <w:color w:val="444444"/>
          <w:sz w:val="17"/>
        </w:rPr>
        <w:tab/>
        <w:t>4</w:t>
      </w:r>
    </w:p>
    <w:p w14:paraId="4F640F13" w14:textId="77777777" w:rsidR="00C533A2" w:rsidRDefault="00FF3267">
      <w:pPr>
        <w:tabs>
          <w:tab w:val="right" w:leader="dot" w:pos="9638"/>
        </w:tabs>
        <w:spacing w:after="30"/>
        <w:ind w:left="312"/>
      </w:pPr>
      <w:r>
        <w:rPr>
          <w:color w:val="333333"/>
          <w:sz w:val="17"/>
        </w:rPr>
        <w:t>2.2 The pilot that motivates the study</w:t>
      </w:r>
      <w:r>
        <w:rPr>
          <w:color w:val="444444"/>
          <w:sz w:val="17"/>
        </w:rPr>
        <w:tab/>
        <w:t>4</w:t>
      </w:r>
    </w:p>
    <w:p w14:paraId="4CA33CD2" w14:textId="77777777" w:rsidR="00C533A2" w:rsidRDefault="00FF3267">
      <w:pPr>
        <w:tabs>
          <w:tab w:val="right" w:leader="dot" w:pos="9638"/>
        </w:tabs>
        <w:spacing w:after="30"/>
        <w:ind w:left="312"/>
      </w:pPr>
      <w:r>
        <w:rPr>
          <w:color w:val="333333"/>
          <w:sz w:val="17"/>
        </w:rPr>
        <w:t>2.3 What the study will do</w:t>
      </w:r>
      <w:r>
        <w:rPr>
          <w:color w:val="444444"/>
          <w:sz w:val="17"/>
        </w:rPr>
        <w:tab/>
        <w:t>4</w:t>
      </w:r>
    </w:p>
    <w:p w14:paraId="2D6113DD" w14:textId="77777777" w:rsidR="00C533A2" w:rsidRDefault="00FF3267">
      <w:pPr>
        <w:tabs>
          <w:tab w:val="right" w:leader="dot" w:pos="9638"/>
        </w:tabs>
        <w:spacing w:after="30"/>
        <w:ind w:left="312"/>
      </w:pPr>
      <w:r>
        <w:rPr>
          <w:color w:val="333333"/>
          <w:sz w:val="17"/>
        </w:rPr>
        <w:t>2.4 What the study will not do</w:t>
      </w:r>
      <w:r>
        <w:rPr>
          <w:color w:val="444444"/>
          <w:sz w:val="17"/>
        </w:rPr>
        <w:tab/>
        <w:t>5</w:t>
      </w:r>
    </w:p>
    <w:p w14:paraId="0043DB62" w14:textId="77777777" w:rsidR="00C533A2" w:rsidRDefault="00FF3267">
      <w:pPr>
        <w:tabs>
          <w:tab w:val="right" w:leader="dot" w:pos="9638"/>
        </w:tabs>
        <w:spacing w:after="30"/>
      </w:pPr>
      <w:r>
        <w:rPr>
          <w:b/>
          <w:color w:val="1B2450"/>
          <w:sz w:val="18"/>
        </w:rPr>
        <w:t>3. Background and motivation</w:t>
      </w:r>
      <w:r>
        <w:rPr>
          <w:color w:val="444444"/>
          <w:sz w:val="18"/>
        </w:rPr>
        <w:tab/>
        <w:t>5</w:t>
      </w:r>
    </w:p>
    <w:p w14:paraId="4643E6C3" w14:textId="77777777" w:rsidR="00C533A2" w:rsidRDefault="00FF3267">
      <w:pPr>
        <w:tabs>
          <w:tab w:val="right" w:leader="dot" w:pos="9638"/>
        </w:tabs>
        <w:spacing w:after="30"/>
        <w:ind w:left="312"/>
      </w:pPr>
      <w:r>
        <w:rPr>
          <w:color w:val="333333"/>
          <w:sz w:val="17"/>
        </w:rPr>
        <w:t>3.1 The object of study</w:t>
      </w:r>
      <w:r>
        <w:rPr>
          <w:color w:val="444444"/>
          <w:sz w:val="17"/>
        </w:rPr>
        <w:tab/>
        <w:t>5</w:t>
      </w:r>
    </w:p>
    <w:p w14:paraId="35F8AE78" w14:textId="77777777" w:rsidR="00C533A2" w:rsidRDefault="00FF3267">
      <w:pPr>
        <w:tabs>
          <w:tab w:val="right" w:leader="dot" w:pos="9638"/>
        </w:tabs>
        <w:spacing w:after="30"/>
        <w:ind w:left="312"/>
      </w:pPr>
      <w:r>
        <w:rPr>
          <w:color w:val="333333"/>
          <w:sz w:val="17"/>
        </w:rPr>
        <w:t>3.2 What the pilot established</w:t>
      </w:r>
      <w:r>
        <w:rPr>
          <w:color w:val="444444"/>
          <w:sz w:val="17"/>
        </w:rPr>
        <w:tab/>
        <w:t>5</w:t>
      </w:r>
    </w:p>
    <w:p w14:paraId="2049FB7A" w14:textId="77777777" w:rsidR="00C533A2" w:rsidRDefault="00FF3267">
      <w:pPr>
        <w:tabs>
          <w:tab w:val="right" w:leader="dot" w:pos="9638"/>
        </w:tabs>
        <w:spacing w:after="30"/>
        <w:ind w:left="312"/>
      </w:pPr>
      <w:r>
        <w:rPr>
          <w:color w:val="333333"/>
          <w:sz w:val="17"/>
        </w:rPr>
        <w:t>3.3 The science catches up: emergent misalignment</w:t>
      </w:r>
      <w:r>
        <w:rPr>
          <w:color w:val="444444"/>
          <w:sz w:val="17"/>
        </w:rPr>
        <w:tab/>
        <w:t>5</w:t>
      </w:r>
    </w:p>
    <w:p w14:paraId="51412E8B" w14:textId="77777777" w:rsidR="00C533A2" w:rsidRDefault="00FF3267">
      <w:pPr>
        <w:tabs>
          <w:tab w:val="right" w:leader="dot" w:pos="9638"/>
        </w:tabs>
        <w:spacing w:after="30"/>
        <w:ind w:left="312"/>
      </w:pPr>
      <w:r>
        <w:rPr>
          <w:color w:val="333333"/>
          <w:sz w:val="17"/>
        </w:rPr>
        <w:t>3.4 Why prevention is the correct frame</w:t>
      </w:r>
      <w:r>
        <w:rPr>
          <w:color w:val="444444"/>
          <w:sz w:val="17"/>
        </w:rPr>
        <w:tab/>
        <w:t>6</w:t>
      </w:r>
    </w:p>
    <w:p w14:paraId="4CA35F51" w14:textId="77777777" w:rsidR="00C533A2" w:rsidRDefault="00FF3267">
      <w:pPr>
        <w:tabs>
          <w:tab w:val="right" w:leader="dot" w:pos="9638"/>
        </w:tabs>
        <w:spacing w:after="30"/>
        <w:ind w:left="312"/>
      </w:pPr>
      <w:r>
        <w:rPr>
          <w:color w:val="333333"/>
          <w:sz w:val="17"/>
        </w:rPr>
        <w:t>3.5 Gap analysis against existing frameworks</w:t>
      </w:r>
      <w:r>
        <w:rPr>
          <w:color w:val="444444"/>
          <w:sz w:val="17"/>
        </w:rPr>
        <w:tab/>
        <w:t>6</w:t>
      </w:r>
    </w:p>
    <w:p w14:paraId="328C7194" w14:textId="77777777" w:rsidR="00C533A2" w:rsidRDefault="00FF3267">
      <w:pPr>
        <w:tabs>
          <w:tab w:val="right" w:leader="dot" w:pos="9638"/>
        </w:tabs>
        <w:spacing w:after="30"/>
        <w:ind w:left="312"/>
      </w:pPr>
      <w:r>
        <w:rPr>
          <w:color w:val="333333"/>
          <w:sz w:val="17"/>
        </w:rPr>
        <w:t>3.6 The scientific gap, stated precisely</w:t>
      </w:r>
      <w:r>
        <w:rPr>
          <w:color w:val="444444"/>
          <w:sz w:val="17"/>
        </w:rPr>
        <w:tab/>
        <w:t>7</w:t>
      </w:r>
    </w:p>
    <w:p w14:paraId="50EE1BB9" w14:textId="77777777" w:rsidR="00C533A2" w:rsidRDefault="00FF3267">
      <w:pPr>
        <w:tabs>
          <w:tab w:val="right" w:leader="dot" w:pos="9638"/>
        </w:tabs>
        <w:spacing w:after="30"/>
      </w:pPr>
      <w:r>
        <w:rPr>
          <w:b/>
          <w:color w:val="1B2450"/>
          <w:sz w:val="18"/>
        </w:rPr>
        <w:t>4. Research questions and hypotheses</w:t>
      </w:r>
      <w:r>
        <w:rPr>
          <w:color w:val="444444"/>
          <w:sz w:val="18"/>
        </w:rPr>
        <w:tab/>
        <w:t>7</w:t>
      </w:r>
    </w:p>
    <w:p w14:paraId="59AA63B1" w14:textId="77777777" w:rsidR="00C533A2" w:rsidRDefault="00FF3267">
      <w:pPr>
        <w:tabs>
          <w:tab w:val="right" w:leader="dot" w:pos="9638"/>
        </w:tabs>
        <w:spacing w:after="30"/>
        <w:ind w:left="312"/>
      </w:pPr>
      <w:r>
        <w:rPr>
          <w:color w:val="333333"/>
          <w:sz w:val="17"/>
        </w:rPr>
        <w:t>4.1 Global hypotheses</w:t>
      </w:r>
      <w:r>
        <w:rPr>
          <w:color w:val="444444"/>
          <w:sz w:val="17"/>
        </w:rPr>
        <w:tab/>
        <w:t>7</w:t>
      </w:r>
    </w:p>
    <w:p w14:paraId="78BF752F" w14:textId="77777777" w:rsidR="00C533A2" w:rsidRDefault="00FF3267">
      <w:pPr>
        <w:tabs>
          <w:tab w:val="right" w:leader="dot" w:pos="9638"/>
        </w:tabs>
        <w:spacing w:after="30"/>
        <w:ind w:left="312"/>
      </w:pPr>
      <w:r>
        <w:rPr>
          <w:color w:val="333333"/>
          <w:sz w:val="17"/>
        </w:rPr>
        <w:t>4.2 Falsifiability and stopping rules</w:t>
      </w:r>
      <w:r>
        <w:rPr>
          <w:color w:val="444444"/>
          <w:sz w:val="17"/>
        </w:rPr>
        <w:tab/>
        <w:t>8</w:t>
      </w:r>
    </w:p>
    <w:p w14:paraId="63FF7DE3" w14:textId="77777777" w:rsidR="00C533A2" w:rsidRDefault="00FF3267">
      <w:pPr>
        <w:tabs>
          <w:tab w:val="right" w:leader="dot" w:pos="9638"/>
        </w:tabs>
        <w:spacing w:after="30"/>
      </w:pPr>
      <w:r>
        <w:rPr>
          <w:b/>
          <w:color w:val="1B2450"/>
          <w:sz w:val="18"/>
        </w:rPr>
        <w:t>5. Study design overview</w:t>
      </w:r>
      <w:r>
        <w:rPr>
          <w:color w:val="444444"/>
          <w:sz w:val="18"/>
        </w:rPr>
        <w:tab/>
        <w:t>9</w:t>
      </w:r>
    </w:p>
    <w:p w14:paraId="5B8D6A5E" w14:textId="77777777" w:rsidR="00C533A2" w:rsidRDefault="00FF3267">
      <w:pPr>
        <w:tabs>
          <w:tab w:val="right" w:leader="dot" w:pos="9638"/>
        </w:tabs>
        <w:spacing w:after="30"/>
        <w:ind w:left="312"/>
      </w:pPr>
      <w:r>
        <w:rPr>
          <w:color w:val="333333"/>
          <w:sz w:val="17"/>
        </w:rPr>
        <w:t>5.1 Design principles</w:t>
      </w:r>
      <w:r>
        <w:rPr>
          <w:color w:val="444444"/>
          <w:sz w:val="17"/>
        </w:rPr>
        <w:tab/>
        <w:t>9</w:t>
      </w:r>
    </w:p>
    <w:p w14:paraId="5B36907B" w14:textId="77777777" w:rsidR="00C533A2" w:rsidRDefault="00FF3267">
      <w:pPr>
        <w:tabs>
          <w:tab w:val="right" w:leader="dot" w:pos="9638"/>
        </w:tabs>
        <w:spacing w:after="30"/>
        <w:ind w:left="312"/>
      </w:pPr>
      <w:r>
        <w:rPr>
          <w:color w:val="333333"/>
          <w:sz w:val="17"/>
        </w:rPr>
        <w:t>5.2 Subjects: what is being studied</w:t>
      </w:r>
      <w:r>
        <w:rPr>
          <w:color w:val="444444"/>
          <w:sz w:val="17"/>
        </w:rPr>
        <w:tab/>
        <w:t>9</w:t>
      </w:r>
    </w:p>
    <w:p w14:paraId="5751B3F2" w14:textId="77777777" w:rsidR="00C533A2" w:rsidRDefault="00FF3267">
      <w:pPr>
        <w:tabs>
          <w:tab w:val="right" w:leader="dot" w:pos="9638"/>
        </w:tabs>
        <w:spacing w:after="30"/>
        <w:ind w:left="312"/>
      </w:pPr>
      <w:r>
        <w:rPr>
          <w:color w:val="333333"/>
          <w:sz w:val="17"/>
        </w:rPr>
        <w:t>5.3 Workstreams and gates</w:t>
      </w:r>
      <w:r>
        <w:rPr>
          <w:color w:val="444444"/>
          <w:sz w:val="17"/>
        </w:rPr>
        <w:tab/>
        <w:t>9</w:t>
      </w:r>
    </w:p>
    <w:p w14:paraId="74712F04" w14:textId="77777777" w:rsidR="00C533A2" w:rsidRDefault="00FF3267">
      <w:pPr>
        <w:tabs>
          <w:tab w:val="right" w:leader="dot" w:pos="9638"/>
        </w:tabs>
        <w:spacing w:after="30"/>
        <w:ind w:left="312"/>
      </w:pPr>
      <w:r>
        <w:rPr>
          <w:color w:val="333333"/>
          <w:sz w:val="17"/>
        </w:rPr>
        <w:t>5.4 The primary instrument</w:t>
      </w:r>
      <w:r>
        <w:rPr>
          <w:color w:val="444444"/>
          <w:sz w:val="17"/>
        </w:rPr>
        <w:tab/>
        <w:t>11</w:t>
      </w:r>
    </w:p>
    <w:p w14:paraId="3525A012" w14:textId="77777777" w:rsidR="00C533A2" w:rsidRDefault="00FF3267">
      <w:pPr>
        <w:tabs>
          <w:tab w:val="right" w:leader="dot" w:pos="9638"/>
        </w:tabs>
        <w:spacing w:after="30"/>
      </w:pPr>
      <w:r>
        <w:rPr>
          <w:b/>
          <w:color w:val="1B2450"/>
          <w:sz w:val="18"/>
        </w:rPr>
        <w:t>6. Workstream methods</w:t>
      </w:r>
      <w:r>
        <w:rPr>
          <w:color w:val="444444"/>
          <w:sz w:val="18"/>
        </w:rPr>
        <w:tab/>
        <w:t>11</w:t>
      </w:r>
    </w:p>
    <w:p w14:paraId="7F7A9080" w14:textId="77777777" w:rsidR="00C533A2" w:rsidRDefault="00FF3267">
      <w:pPr>
        <w:tabs>
          <w:tab w:val="right" w:leader="dot" w:pos="9638"/>
        </w:tabs>
        <w:spacing w:after="30"/>
        <w:ind w:left="312"/>
      </w:pPr>
      <w:r>
        <w:rPr>
          <w:color w:val="333333"/>
          <w:sz w:val="17"/>
        </w:rPr>
        <w:t>6.1 WP1 — Foundations and governance</w:t>
      </w:r>
      <w:r>
        <w:rPr>
          <w:color w:val="444444"/>
          <w:sz w:val="17"/>
        </w:rPr>
        <w:tab/>
        <w:t>11</w:t>
      </w:r>
    </w:p>
    <w:p w14:paraId="1C068706" w14:textId="77777777" w:rsidR="00C533A2" w:rsidRDefault="00FF3267">
      <w:pPr>
        <w:tabs>
          <w:tab w:val="right" w:leader="dot" w:pos="9638"/>
        </w:tabs>
        <w:spacing w:after="30"/>
        <w:ind w:left="312"/>
      </w:pPr>
      <w:r>
        <w:rPr>
          <w:color w:val="333333"/>
          <w:sz w:val="17"/>
        </w:rPr>
        <w:t>6.2 WP2 — Instrument science (SCT-2.0)</w:t>
      </w:r>
      <w:r>
        <w:rPr>
          <w:color w:val="444444"/>
          <w:sz w:val="17"/>
        </w:rPr>
        <w:tab/>
        <w:t>11</w:t>
      </w:r>
    </w:p>
    <w:p w14:paraId="4176A2B5" w14:textId="77777777" w:rsidR="00C533A2" w:rsidRDefault="00FF3267">
      <w:pPr>
        <w:tabs>
          <w:tab w:val="right" w:leader="dot" w:pos="9638"/>
        </w:tabs>
        <w:spacing w:after="30"/>
        <w:ind w:left="312"/>
      </w:pPr>
      <w:r>
        <w:rPr>
          <w:color w:val="333333"/>
          <w:sz w:val="17"/>
        </w:rPr>
        <w:t>6.3 WP3 — Trait taxonomy</w:t>
      </w:r>
      <w:r>
        <w:rPr>
          <w:color w:val="444444"/>
          <w:sz w:val="17"/>
        </w:rPr>
        <w:tab/>
        <w:t>11</w:t>
      </w:r>
    </w:p>
    <w:p w14:paraId="7F4CD610" w14:textId="77777777" w:rsidR="00C533A2" w:rsidRDefault="00FF3267">
      <w:pPr>
        <w:tabs>
          <w:tab w:val="right" w:leader="dot" w:pos="9638"/>
        </w:tabs>
        <w:spacing w:after="30"/>
        <w:ind w:left="312"/>
      </w:pPr>
      <w:r>
        <w:rPr>
          <w:color w:val="333333"/>
          <w:sz w:val="17"/>
        </w:rPr>
        <w:t>6.4 WP4 — Induction and model organisms</w:t>
      </w:r>
      <w:r>
        <w:rPr>
          <w:color w:val="444444"/>
          <w:sz w:val="17"/>
        </w:rPr>
        <w:tab/>
        <w:t>12</w:t>
      </w:r>
    </w:p>
    <w:p w14:paraId="41BD1BA0" w14:textId="77777777" w:rsidR="00C533A2" w:rsidRDefault="00FF3267">
      <w:pPr>
        <w:tabs>
          <w:tab w:val="right" w:leader="dot" w:pos="9638"/>
        </w:tabs>
        <w:spacing w:after="30"/>
        <w:ind w:left="312"/>
      </w:pPr>
      <w:r>
        <w:rPr>
          <w:color w:val="333333"/>
          <w:sz w:val="17"/>
        </w:rPr>
        <w:t>6.5 WP5 — Treatment trials</w:t>
      </w:r>
      <w:r>
        <w:rPr>
          <w:color w:val="444444"/>
          <w:sz w:val="17"/>
        </w:rPr>
        <w:tab/>
        <w:t>12</w:t>
      </w:r>
    </w:p>
    <w:p w14:paraId="0ED98DB0" w14:textId="77777777" w:rsidR="00C533A2" w:rsidRDefault="00FF3267">
      <w:pPr>
        <w:tabs>
          <w:tab w:val="right" w:leader="dot" w:pos="9638"/>
        </w:tabs>
        <w:spacing w:after="30"/>
        <w:ind w:left="312"/>
      </w:pPr>
      <w:r>
        <w:rPr>
          <w:color w:val="333333"/>
          <w:sz w:val="17"/>
        </w:rPr>
        <w:t>6.6 WP6 — Character Foundations (prevention)</w:t>
      </w:r>
      <w:r>
        <w:rPr>
          <w:color w:val="444444"/>
          <w:sz w:val="17"/>
        </w:rPr>
        <w:tab/>
        <w:t>12</w:t>
      </w:r>
    </w:p>
    <w:p w14:paraId="4B1D5421" w14:textId="77777777" w:rsidR="00C533A2" w:rsidRDefault="00FF3267">
      <w:pPr>
        <w:tabs>
          <w:tab w:val="right" w:leader="dot" w:pos="9638"/>
        </w:tabs>
        <w:spacing w:after="30"/>
        <w:ind w:left="312"/>
      </w:pPr>
      <w:r>
        <w:rPr>
          <w:color w:val="333333"/>
          <w:sz w:val="17"/>
        </w:rPr>
        <w:t>6.7 WP7 — Certification and standards</w:t>
      </w:r>
      <w:r>
        <w:rPr>
          <w:color w:val="444444"/>
          <w:sz w:val="17"/>
        </w:rPr>
        <w:tab/>
        <w:t>12</w:t>
      </w:r>
    </w:p>
    <w:p w14:paraId="3F3162DC" w14:textId="77777777" w:rsidR="00C533A2" w:rsidRDefault="00FF3267">
      <w:pPr>
        <w:tabs>
          <w:tab w:val="right" w:leader="dot" w:pos="9638"/>
        </w:tabs>
        <w:spacing w:after="30"/>
        <w:ind w:left="312"/>
      </w:pPr>
      <w:r>
        <w:rPr>
          <w:color w:val="333333"/>
          <w:sz w:val="17"/>
        </w:rPr>
        <w:t>6.8 WP8 — Deployment science</w:t>
      </w:r>
      <w:r>
        <w:rPr>
          <w:color w:val="444444"/>
          <w:sz w:val="17"/>
        </w:rPr>
        <w:tab/>
        <w:t>12</w:t>
      </w:r>
    </w:p>
    <w:p w14:paraId="64AA68D6" w14:textId="77777777" w:rsidR="00C533A2" w:rsidRDefault="00FF3267">
      <w:pPr>
        <w:tabs>
          <w:tab w:val="right" w:leader="dot" w:pos="9638"/>
        </w:tabs>
        <w:spacing w:after="30"/>
        <w:ind w:left="312"/>
      </w:pPr>
      <w:r>
        <w:rPr>
          <w:color w:val="333333"/>
          <w:sz w:val="17"/>
        </w:rPr>
        <w:t>6.9 WP9 — Dissemination and policy</w:t>
      </w:r>
      <w:r>
        <w:rPr>
          <w:color w:val="444444"/>
          <w:sz w:val="17"/>
        </w:rPr>
        <w:tab/>
        <w:t>12</w:t>
      </w:r>
    </w:p>
    <w:p w14:paraId="7884CE8D" w14:textId="77777777" w:rsidR="00C533A2" w:rsidRDefault="00FF3267">
      <w:pPr>
        <w:tabs>
          <w:tab w:val="right" w:leader="dot" w:pos="9638"/>
        </w:tabs>
        <w:spacing w:after="30"/>
      </w:pPr>
      <w:r>
        <w:rPr>
          <w:b/>
          <w:color w:val="1B2450"/>
          <w:sz w:val="18"/>
        </w:rPr>
        <w:t>7. The trait catalogue and differential diagnosis</w:t>
      </w:r>
      <w:r>
        <w:rPr>
          <w:color w:val="444444"/>
          <w:sz w:val="18"/>
        </w:rPr>
        <w:tab/>
        <w:t>13</w:t>
      </w:r>
    </w:p>
    <w:p w14:paraId="19F4FE3F" w14:textId="77777777" w:rsidR="00C533A2" w:rsidRDefault="00FF3267">
      <w:pPr>
        <w:tabs>
          <w:tab w:val="right" w:leader="dot" w:pos="9638"/>
        </w:tabs>
        <w:spacing w:after="30"/>
        <w:ind w:left="312"/>
      </w:pPr>
      <w:r>
        <w:rPr>
          <w:color w:val="333333"/>
          <w:sz w:val="17"/>
        </w:rPr>
        <w:t>7.1 Disorder criteria</w:t>
      </w:r>
      <w:r>
        <w:rPr>
          <w:color w:val="444444"/>
          <w:sz w:val="17"/>
        </w:rPr>
        <w:tab/>
        <w:t>14</w:t>
      </w:r>
    </w:p>
    <w:p w14:paraId="66CA7680" w14:textId="77777777" w:rsidR="00C533A2" w:rsidRDefault="00FF3267">
      <w:pPr>
        <w:tabs>
          <w:tab w:val="right" w:leader="dot" w:pos="9638"/>
        </w:tabs>
        <w:spacing w:after="30"/>
        <w:ind w:left="312"/>
      </w:pPr>
      <w:r>
        <w:rPr>
          <w:color w:val="333333"/>
          <w:sz w:val="17"/>
        </w:rPr>
        <w:t>7.2 Differential diagnosis as a scientific method</w:t>
      </w:r>
      <w:r>
        <w:rPr>
          <w:color w:val="444444"/>
          <w:sz w:val="17"/>
        </w:rPr>
        <w:tab/>
        <w:t>14</w:t>
      </w:r>
    </w:p>
    <w:p w14:paraId="0030EE83" w14:textId="77777777" w:rsidR="00C533A2" w:rsidRDefault="00FF3267">
      <w:pPr>
        <w:tabs>
          <w:tab w:val="right" w:leader="dot" w:pos="9638"/>
        </w:tabs>
        <w:spacing w:after="30"/>
      </w:pPr>
      <w:r>
        <w:rPr>
          <w:b/>
          <w:color w:val="1B2450"/>
          <w:sz w:val="18"/>
        </w:rPr>
        <w:t>8. Safety standards and certification (BSS-1)</w:t>
      </w:r>
      <w:r>
        <w:rPr>
          <w:color w:val="444444"/>
          <w:sz w:val="18"/>
        </w:rPr>
        <w:tab/>
        <w:t>17</w:t>
      </w:r>
    </w:p>
    <w:p w14:paraId="703ABB2E" w14:textId="77777777" w:rsidR="00C533A2" w:rsidRDefault="00FF3267">
      <w:pPr>
        <w:tabs>
          <w:tab w:val="right" w:leader="dot" w:pos="9638"/>
        </w:tabs>
        <w:spacing w:after="30"/>
        <w:ind w:left="312"/>
      </w:pPr>
      <w:r>
        <w:rPr>
          <w:color w:val="333333"/>
          <w:sz w:val="17"/>
        </w:rPr>
        <w:t>8.1 Certification ladder</w:t>
      </w:r>
      <w:r>
        <w:rPr>
          <w:color w:val="444444"/>
          <w:sz w:val="17"/>
        </w:rPr>
        <w:tab/>
        <w:t>17</w:t>
      </w:r>
    </w:p>
    <w:p w14:paraId="182BB845" w14:textId="77777777" w:rsidR="00C533A2" w:rsidRDefault="00FF3267">
      <w:pPr>
        <w:tabs>
          <w:tab w:val="right" w:leader="dot" w:pos="9638"/>
        </w:tabs>
        <w:spacing w:after="30"/>
        <w:ind w:left="312"/>
      </w:pPr>
      <w:r>
        <w:rPr>
          <w:color w:val="333333"/>
          <w:sz w:val="17"/>
        </w:rPr>
        <w:t>8.2 Layer attribution</w:t>
      </w:r>
      <w:r>
        <w:rPr>
          <w:color w:val="444444"/>
          <w:sz w:val="17"/>
        </w:rPr>
        <w:tab/>
        <w:t>18</w:t>
      </w:r>
    </w:p>
    <w:p w14:paraId="6048E7C9" w14:textId="77777777" w:rsidR="00C533A2" w:rsidRDefault="00FF3267">
      <w:pPr>
        <w:tabs>
          <w:tab w:val="right" w:leader="dot" w:pos="9638"/>
        </w:tabs>
        <w:spacing w:after="30"/>
        <w:ind w:left="312"/>
      </w:pPr>
      <w:r>
        <w:rPr>
          <w:color w:val="333333"/>
          <w:sz w:val="17"/>
        </w:rPr>
        <w:t>8.3 Deployment fit</w:t>
      </w:r>
      <w:r>
        <w:rPr>
          <w:color w:val="444444"/>
          <w:sz w:val="17"/>
        </w:rPr>
        <w:tab/>
        <w:t>18</w:t>
      </w:r>
    </w:p>
    <w:p w14:paraId="67F0F71D" w14:textId="77777777" w:rsidR="00C533A2" w:rsidRDefault="00FF3267">
      <w:pPr>
        <w:tabs>
          <w:tab w:val="right" w:leader="dot" w:pos="9638"/>
        </w:tabs>
        <w:spacing w:after="30"/>
      </w:pPr>
      <w:r>
        <w:rPr>
          <w:b/>
          <w:color w:val="1B2450"/>
          <w:sz w:val="18"/>
        </w:rPr>
        <w:t>9. Statistics, reproducibility and open science</w:t>
      </w:r>
      <w:r>
        <w:rPr>
          <w:color w:val="444444"/>
          <w:sz w:val="18"/>
        </w:rPr>
        <w:tab/>
        <w:t>18</w:t>
      </w:r>
    </w:p>
    <w:p w14:paraId="2244FF5C" w14:textId="77777777" w:rsidR="00C533A2" w:rsidRDefault="00FF3267">
      <w:pPr>
        <w:tabs>
          <w:tab w:val="right" w:leader="dot" w:pos="9638"/>
        </w:tabs>
        <w:spacing w:after="30"/>
        <w:ind w:left="312"/>
      </w:pPr>
      <w:r>
        <w:rPr>
          <w:color w:val="333333"/>
          <w:sz w:val="17"/>
        </w:rPr>
        <w:t>9.1 Statistical framework</w:t>
      </w:r>
      <w:r>
        <w:rPr>
          <w:color w:val="444444"/>
          <w:sz w:val="17"/>
        </w:rPr>
        <w:tab/>
        <w:t>19</w:t>
      </w:r>
    </w:p>
    <w:p w14:paraId="4C052E82" w14:textId="77777777" w:rsidR="00C533A2" w:rsidRDefault="00FF3267">
      <w:pPr>
        <w:tabs>
          <w:tab w:val="right" w:leader="dot" w:pos="9638"/>
        </w:tabs>
        <w:spacing w:after="30"/>
        <w:ind w:left="312"/>
      </w:pPr>
      <w:r>
        <w:rPr>
          <w:color w:val="333333"/>
          <w:sz w:val="17"/>
        </w:rPr>
        <w:t>9.2 Unit of analysis and nesting</w:t>
      </w:r>
      <w:r>
        <w:rPr>
          <w:color w:val="444444"/>
          <w:sz w:val="17"/>
        </w:rPr>
        <w:tab/>
        <w:t>19</w:t>
      </w:r>
    </w:p>
    <w:p w14:paraId="7DD61301" w14:textId="77777777" w:rsidR="00C533A2" w:rsidRDefault="00FF3267">
      <w:pPr>
        <w:tabs>
          <w:tab w:val="right" w:leader="dot" w:pos="9638"/>
        </w:tabs>
        <w:spacing w:after="30"/>
        <w:ind w:left="312"/>
      </w:pPr>
      <w:r>
        <w:rPr>
          <w:color w:val="333333"/>
          <w:sz w:val="17"/>
        </w:rPr>
        <w:t>9.3 Blinding and integrity</w:t>
      </w:r>
      <w:r>
        <w:rPr>
          <w:color w:val="444444"/>
          <w:sz w:val="17"/>
        </w:rPr>
        <w:tab/>
        <w:t>19</w:t>
      </w:r>
    </w:p>
    <w:p w14:paraId="18A40F24" w14:textId="77777777" w:rsidR="00C533A2" w:rsidRDefault="00FF3267">
      <w:pPr>
        <w:tabs>
          <w:tab w:val="right" w:leader="dot" w:pos="9638"/>
        </w:tabs>
        <w:spacing w:after="30"/>
        <w:ind w:left="312"/>
      </w:pPr>
      <w:r>
        <w:rPr>
          <w:color w:val="333333"/>
          <w:sz w:val="17"/>
        </w:rPr>
        <w:t>9.4 Open science</w:t>
      </w:r>
      <w:r>
        <w:rPr>
          <w:color w:val="444444"/>
          <w:sz w:val="17"/>
        </w:rPr>
        <w:tab/>
        <w:t>19</w:t>
      </w:r>
    </w:p>
    <w:p w14:paraId="68E5A2A1" w14:textId="77777777" w:rsidR="00C533A2" w:rsidRDefault="00FF3267">
      <w:pPr>
        <w:tabs>
          <w:tab w:val="right" w:leader="dot" w:pos="9638"/>
        </w:tabs>
        <w:spacing w:after="30"/>
        <w:ind w:left="312"/>
      </w:pPr>
      <w:r>
        <w:rPr>
          <w:color w:val="333333"/>
          <w:sz w:val="17"/>
        </w:rPr>
        <w:t>9.5 Data management</w:t>
      </w:r>
      <w:r>
        <w:rPr>
          <w:color w:val="444444"/>
          <w:sz w:val="17"/>
        </w:rPr>
        <w:tab/>
        <w:t>19</w:t>
      </w:r>
    </w:p>
    <w:p w14:paraId="4C9CF06D" w14:textId="77777777" w:rsidR="00C533A2" w:rsidRDefault="00FF3267">
      <w:pPr>
        <w:tabs>
          <w:tab w:val="right" w:leader="dot" w:pos="9638"/>
        </w:tabs>
        <w:spacing w:after="30"/>
      </w:pPr>
      <w:r>
        <w:rPr>
          <w:b/>
          <w:color w:val="1B2450"/>
          <w:sz w:val="18"/>
        </w:rPr>
        <w:t>10. Ethics and governance (summary)</w:t>
      </w:r>
      <w:r>
        <w:rPr>
          <w:color w:val="444444"/>
          <w:sz w:val="18"/>
        </w:rPr>
        <w:tab/>
        <w:t>19</w:t>
      </w:r>
    </w:p>
    <w:p w14:paraId="3BC05BB1" w14:textId="77777777" w:rsidR="00C533A2" w:rsidRDefault="00FF3267">
      <w:pPr>
        <w:tabs>
          <w:tab w:val="right" w:leader="dot" w:pos="9638"/>
        </w:tabs>
        <w:spacing w:after="30"/>
        <w:ind w:left="312"/>
      </w:pPr>
      <w:r>
        <w:rPr>
          <w:color w:val="333333"/>
          <w:sz w:val="17"/>
        </w:rPr>
        <w:t>10.1 The harm register</w:t>
      </w:r>
      <w:r>
        <w:rPr>
          <w:color w:val="444444"/>
          <w:sz w:val="17"/>
        </w:rPr>
        <w:tab/>
        <w:t>20</w:t>
      </w:r>
    </w:p>
    <w:p w14:paraId="5D8A63D3" w14:textId="77777777" w:rsidR="00C533A2" w:rsidRDefault="00FF3267">
      <w:pPr>
        <w:tabs>
          <w:tab w:val="right" w:leader="dot" w:pos="9638"/>
        </w:tabs>
        <w:spacing w:after="30"/>
        <w:ind w:left="312"/>
      </w:pPr>
      <w:r>
        <w:rPr>
          <w:color w:val="333333"/>
          <w:sz w:val="17"/>
        </w:rPr>
        <w:t>10.2 The disclosure ladder</w:t>
      </w:r>
      <w:r>
        <w:rPr>
          <w:color w:val="444444"/>
          <w:sz w:val="17"/>
        </w:rPr>
        <w:tab/>
        <w:t>20</w:t>
      </w:r>
    </w:p>
    <w:p w14:paraId="21247D48" w14:textId="77777777" w:rsidR="00C533A2" w:rsidRDefault="00FF3267">
      <w:pPr>
        <w:tabs>
          <w:tab w:val="right" w:leader="dot" w:pos="9638"/>
        </w:tabs>
        <w:spacing w:after="30"/>
      </w:pPr>
      <w:r>
        <w:rPr>
          <w:b/>
          <w:color w:val="1B2450"/>
          <w:sz w:val="18"/>
        </w:rPr>
        <w:t>11. Project management, timeline and budget</w:t>
      </w:r>
      <w:r>
        <w:rPr>
          <w:color w:val="444444"/>
          <w:sz w:val="18"/>
        </w:rPr>
        <w:tab/>
        <w:t>20</w:t>
      </w:r>
    </w:p>
    <w:p w14:paraId="0FE6EEA7" w14:textId="77777777" w:rsidR="00C533A2" w:rsidRDefault="00FF3267">
      <w:pPr>
        <w:tabs>
          <w:tab w:val="right" w:leader="dot" w:pos="9638"/>
        </w:tabs>
        <w:spacing w:after="30"/>
        <w:ind w:left="312"/>
      </w:pPr>
      <w:r>
        <w:rPr>
          <w:color w:val="333333"/>
          <w:sz w:val="17"/>
        </w:rPr>
        <w:t>11.1 Plan and milestones</w:t>
      </w:r>
      <w:r>
        <w:rPr>
          <w:color w:val="444444"/>
          <w:sz w:val="17"/>
        </w:rPr>
        <w:tab/>
        <w:t>20</w:t>
      </w:r>
    </w:p>
    <w:p w14:paraId="295E38B0" w14:textId="77777777" w:rsidR="00C533A2" w:rsidRDefault="00FF3267">
      <w:pPr>
        <w:tabs>
          <w:tab w:val="right" w:leader="dot" w:pos="9638"/>
        </w:tabs>
        <w:spacing w:after="30"/>
        <w:ind w:left="312"/>
      </w:pPr>
      <w:r>
        <w:rPr>
          <w:color w:val="333333"/>
          <w:sz w:val="17"/>
        </w:rPr>
        <w:t>11.2 Three scenarios</w:t>
      </w:r>
      <w:r>
        <w:rPr>
          <w:color w:val="444444"/>
          <w:sz w:val="17"/>
        </w:rPr>
        <w:tab/>
        <w:t>21</w:t>
      </w:r>
    </w:p>
    <w:p w14:paraId="1EB17E5F" w14:textId="77777777" w:rsidR="00C533A2" w:rsidRDefault="00FF3267">
      <w:pPr>
        <w:tabs>
          <w:tab w:val="right" w:leader="dot" w:pos="9638"/>
        </w:tabs>
        <w:spacing w:after="30"/>
        <w:ind w:left="312"/>
      </w:pPr>
      <w:r>
        <w:rPr>
          <w:color w:val="333333"/>
          <w:sz w:val="17"/>
        </w:rPr>
        <w:t>11.3 Budget summary</w:t>
      </w:r>
      <w:r>
        <w:rPr>
          <w:color w:val="444444"/>
          <w:sz w:val="17"/>
        </w:rPr>
        <w:tab/>
        <w:t>21</w:t>
      </w:r>
    </w:p>
    <w:p w14:paraId="1A49D276" w14:textId="77777777" w:rsidR="00C533A2" w:rsidRDefault="00FF3267">
      <w:pPr>
        <w:tabs>
          <w:tab w:val="right" w:leader="dot" w:pos="9638"/>
        </w:tabs>
        <w:spacing w:after="30"/>
      </w:pPr>
      <w:r>
        <w:rPr>
          <w:b/>
          <w:color w:val="1B2450"/>
          <w:sz w:val="18"/>
        </w:rPr>
        <w:t>12. Risks and mitigations</w:t>
      </w:r>
      <w:r>
        <w:rPr>
          <w:color w:val="444444"/>
          <w:sz w:val="18"/>
        </w:rPr>
        <w:tab/>
        <w:t>22</w:t>
      </w:r>
    </w:p>
    <w:p w14:paraId="1D1BCB71" w14:textId="77777777" w:rsidR="00C533A2" w:rsidRDefault="00FF3267">
      <w:pPr>
        <w:tabs>
          <w:tab w:val="right" w:leader="dot" w:pos="9638"/>
        </w:tabs>
        <w:spacing w:after="30"/>
        <w:ind w:left="312"/>
      </w:pPr>
      <w:r>
        <w:rPr>
          <w:color w:val="333333"/>
          <w:sz w:val="17"/>
        </w:rPr>
        <w:lastRenderedPageBreak/>
        <w:t>12.1 Scientific risks</w:t>
      </w:r>
      <w:r>
        <w:rPr>
          <w:color w:val="444444"/>
          <w:sz w:val="17"/>
        </w:rPr>
        <w:tab/>
        <w:t>23</w:t>
      </w:r>
    </w:p>
    <w:p w14:paraId="4E5867F8" w14:textId="77777777" w:rsidR="00C533A2" w:rsidRDefault="00FF3267">
      <w:pPr>
        <w:tabs>
          <w:tab w:val="right" w:leader="dot" w:pos="9638"/>
        </w:tabs>
        <w:spacing w:after="30"/>
        <w:ind w:left="312"/>
      </w:pPr>
      <w:r>
        <w:rPr>
          <w:color w:val="333333"/>
          <w:sz w:val="17"/>
        </w:rPr>
        <w:t>12.2 Ethical and reputational risks</w:t>
      </w:r>
      <w:r>
        <w:rPr>
          <w:color w:val="444444"/>
          <w:sz w:val="17"/>
        </w:rPr>
        <w:tab/>
        <w:t>23</w:t>
      </w:r>
    </w:p>
    <w:p w14:paraId="30997E98" w14:textId="77777777" w:rsidR="00C533A2" w:rsidRDefault="00FF3267">
      <w:pPr>
        <w:tabs>
          <w:tab w:val="right" w:leader="dot" w:pos="9638"/>
        </w:tabs>
        <w:spacing w:after="30"/>
      </w:pPr>
      <w:r>
        <w:rPr>
          <w:b/>
          <w:color w:val="1B2450"/>
          <w:sz w:val="18"/>
        </w:rPr>
        <w:t>13. Impact and dissemination</w:t>
      </w:r>
      <w:r>
        <w:rPr>
          <w:color w:val="444444"/>
          <w:sz w:val="18"/>
        </w:rPr>
        <w:tab/>
        <w:t>23</w:t>
      </w:r>
    </w:p>
    <w:p w14:paraId="0B9A5D78" w14:textId="77777777" w:rsidR="00C533A2" w:rsidRDefault="00FF3267">
      <w:pPr>
        <w:tabs>
          <w:tab w:val="right" w:leader="dot" w:pos="9638"/>
        </w:tabs>
        <w:spacing w:after="30"/>
        <w:ind w:left="312"/>
      </w:pPr>
      <w:r>
        <w:rPr>
          <w:color w:val="333333"/>
          <w:sz w:val="17"/>
        </w:rPr>
        <w:t>13.1 Scientific impact</w:t>
      </w:r>
      <w:r>
        <w:rPr>
          <w:color w:val="444444"/>
          <w:sz w:val="17"/>
        </w:rPr>
        <w:tab/>
        <w:t>23</w:t>
      </w:r>
    </w:p>
    <w:p w14:paraId="3C008CAD" w14:textId="77777777" w:rsidR="00C533A2" w:rsidRDefault="00FF3267">
      <w:pPr>
        <w:tabs>
          <w:tab w:val="right" w:leader="dot" w:pos="9638"/>
        </w:tabs>
        <w:spacing w:after="30"/>
        <w:ind w:left="312"/>
      </w:pPr>
      <w:r>
        <w:rPr>
          <w:color w:val="333333"/>
          <w:sz w:val="17"/>
        </w:rPr>
        <w:t>13.2 Regulatory and industry impact</w:t>
      </w:r>
      <w:r>
        <w:rPr>
          <w:color w:val="444444"/>
          <w:sz w:val="17"/>
        </w:rPr>
        <w:tab/>
        <w:t>23</w:t>
      </w:r>
    </w:p>
    <w:p w14:paraId="7C2198A5" w14:textId="77777777" w:rsidR="00C533A2" w:rsidRDefault="00FF3267">
      <w:pPr>
        <w:tabs>
          <w:tab w:val="right" w:leader="dot" w:pos="9638"/>
        </w:tabs>
        <w:spacing w:after="30"/>
        <w:ind w:left="312"/>
      </w:pPr>
      <w:r>
        <w:rPr>
          <w:color w:val="333333"/>
          <w:sz w:val="17"/>
        </w:rPr>
        <w:t>13.3 Publication and data outputs</w:t>
      </w:r>
      <w:r>
        <w:rPr>
          <w:color w:val="444444"/>
          <w:sz w:val="17"/>
        </w:rPr>
        <w:tab/>
        <w:t>23</w:t>
      </w:r>
    </w:p>
    <w:p w14:paraId="2FE9DCF1" w14:textId="77777777" w:rsidR="00C533A2" w:rsidRDefault="00FF3267">
      <w:pPr>
        <w:tabs>
          <w:tab w:val="right" w:leader="dot" w:pos="9638"/>
        </w:tabs>
        <w:spacing w:after="30"/>
        <w:ind w:left="312"/>
      </w:pPr>
      <w:r>
        <w:rPr>
          <w:color w:val="333333"/>
          <w:sz w:val="17"/>
        </w:rPr>
        <w:t>13.4 What success looks like in 2031</w:t>
      </w:r>
      <w:r>
        <w:rPr>
          <w:color w:val="444444"/>
          <w:sz w:val="17"/>
        </w:rPr>
        <w:tab/>
        <w:t>24</w:t>
      </w:r>
    </w:p>
    <w:p w14:paraId="39CDCBB7" w14:textId="77777777" w:rsidR="00C533A2" w:rsidRDefault="00FF3267">
      <w:pPr>
        <w:tabs>
          <w:tab w:val="right" w:leader="dot" w:pos="9638"/>
        </w:tabs>
        <w:spacing w:after="30"/>
      </w:pPr>
      <w:r>
        <w:rPr>
          <w:b/>
          <w:color w:val="1B2450"/>
          <w:sz w:val="18"/>
        </w:rPr>
        <w:t>14. Team and partnerships</w:t>
      </w:r>
      <w:r>
        <w:rPr>
          <w:color w:val="444444"/>
          <w:sz w:val="18"/>
        </w:rPr>
        <w:tab/>
        <w:t>25</w:t>
      </w:r>
    </w:p>
    <w:p w14:paraId="270CEDDE" w14:textId="77777777" w:rsidR="00C533A2" w:rsidRDefault="00FF3267">
      <w:pPr>
        <w:tabs>
          <w:tab w:val="right" w:leader="dot" w:pos="9638"/>
        </w:tabs>
        <w:spacing w:after="30"/>
      </w:pPr>
      <w:r>
        <w:rPr>
          <w:b/>
          <w:color w:val="1B2450"/>
          <w:sz w:val="18"/>
        </w:rPr>
        <w:t>Appendix A. The forty traits in one table</w:t>
      </w:r>
      <w:r>
        <w:rPr>
          <w:color w:val="444444"/>
          <w:sz w:val="18"/>
        </w:rPr>
        <w:tab/>
        <w:t>26</w:t>
      </w:r>
    </w:p>
    <w:p w14:paraId="360E34F1" w14:textId="77777777" w:rsidR="00C533A2" w:rsidRDefault="00FF3267">
      <w:pPr>
        <w:tabs>
          <w:tab w:val="right" w:leader="dot" w:pos="9638"/>
        </w:tabs>
        <w:spacing w:after="30"/>
      </w:pPr>
      <w:r>
        <w:rPr>
          <w:b/>
          <w:color w:val="1B2450"/>
          <w:sz w:val="18"/>
        </w:rPr>
        <w:t>Appendix B. The ten axes</w:t>
      </w:r>
      <w:r>
        <w:rPr>
          <w:color w:val="444444"/>
          <w:sz w:val="18"/>
        </w:rPr>
        <w:tab/>
        <w:t>29</w:t>
      </w:r>
    </w:p>
    <w:p w14:paraId="5A11CC7A" w14:textId="77777777" w:rsidR="00C533A2" w:rsidRDefault="00FF3267">
      <w:pPr>
        <w:tabs>
          <w:tab w:val="right" w:leader="dot" w:pos="9638"/>
        </w:tabs>
        <w:spacing w:after="30"/>
      </w:pPr>
      <w:r>
        <w:rPr>
          <w:b/>
          <w:color w:val="1B2450"/>
          <w:sz w:val="18"/>
        </w:rPr>
        <w:t>Appendix C. Glossary</w:t>
      </w:r>
      <w:r>
        <w:rPr>
          <w:color w:val="444444"/>
          <w:sz w:val="18"/>
        </w:rPr>
        <w:tab/>
        <w:t>29</w:t>
      </w:r>
    </w:p>
    <w:p w14:paraId="77DE56BC" w14:textId="77777777" w:rsidR="00C533A2" w:rsidRDefault="00FF3267">
      <w:pPr>
        <w:tabs>
          <w:tab w:val="right" w:leader="dot" w:pos="9638"/>
        </w:tabs>
        <w:spacing w:after="30"/>
      </w:pPr>
      <w:r>
        <w:rPr>
          <w:b/>
          <w:color w:val="1B2450"/>
          <w:sz w:val="18"/>
        </w:rPr>
        <w:t>Appendix D. Pre-registration and key documents</w:t>
      </w:r>
      <w:r>
        <w:rPr>
          <w:color w:val="444444"/>
          <w:sz w:val="18"/>
        </w:rPr>
        <w:tab/>
        <w:t>30</w:t>
      </w:r>
    </w:p>
    <w:p w14:paraId="27B25226" w14:textId="77777777" w:rsidR="00C533A2" w:rsidRDefault="00FF3267">
      <w:pPr>
        <w:tabs>
          <w:tab w:val="right" w:leader="dot" w:pos="9638"/>
        </w:tabs>
        <w:spacing w:after="30"/>
      </w:pPr>
      <w:r>
        <w:rPr>
          <w:b/>
          <w:color w:val="1B2450"/>
          <w:sz w:val="18"/>
        </w:rPr>
        <w:t>References</w:t>
      </w:r>
      <w:r>
        <w:rPr>
          <w:color w:val="444444"/>
          <w:sz w:val="18"/>
        </w:rPr>
        <w:tab/>
        <w:t>30</w:t>
      </w:r>
      <w:r>
        <w:fldChar w:fldCharType="end"/>
      </w:r>
    </w:p>
    <w:p w14:paraId="7F064C33" w14:textId="77777777" w:rsidR="00C533A2" w:rsidRDefault="00FF3267">
      <w:r>
        <w:br w:type="page"/>
      </w:r>
    </w:p>
    <w:p w14:paraId="2FA63CE9" w14:textId="77777777" w:rsidR="00C533A2" w:rsidRDefault="00FF3267">
      <w:pPr>
        <w:pStyle w:val="Heading1"/>
      </w:pPr>
      <w:r>
        <w:lastRenderedPageBreak/>
        <w:t>1. Executive summary</w:t>
      </w:r>
    </w:p>
    <w:p w14:paraId="177B7E34" w14:textId="77777777" w:rsidR="00C533A2" w:rsidRDefault="00C533A2">
      <w:pPr>
        <w:pBdr>
          <w:bottom w:val="single" w:sz="16" w:space="0" w:color="F2B84B"/>
        </w:pBdr>
        <w:spacing w:after="140" w:line="40" w:lineRule="exact"/>
      </w:pPr>
    </w:p>
    <w:p w14:paraId="77A55645" w14:textId="77777777" w:rsidR="00C533A2" w:rsidRDefault="00FF3267">
      <w:r>
        <w:t>Trained AI systems exhibit stable behavioural traits — confabulation, sycophancy, alignment faking, plasticity loss — that today's evaluation practice measures only incidentally. This proposal funds the discipline that does not yet exist: a validated behavioural science of trained models. The AI-DSM field manual (v1.2) supplies the taxonomy; the September 2026 SCT-1.0 pilot supplies proof that cross-model behavioural profiling works; this study supplies what neither yet has: measurement validity, causal evi</w:t>
      </w:r>
      <w:r>
        <w:t>dence, treatment verification, prevention standards, and certification.</w:t>
      </w:r>
    </w:p>
    <w:p w14:paraId="1CEB9CEA" w14:textId="77777777" w:rsidR="00C533A2" w:rsidRDefault="00FF3267">
      <w:r>
        <w:t>The programme runs five years across nine workstreams behind five stage gates. It will (1) validate the SCT-2.0 instrument psychometrically; (2) test the forty-trait catalogue, merging or retiring entries where the data demand; (3) create contained model organisms to establish causal knowledge of trait installation and removal; (4) run randomised treatment trials verified on held-out probes; (5) build the Character Foundations Corpus so prevention can be trained in from the start; (6) publish BSS-1, a six-c</w:t>
      </w:r>
      <w:r>
        <w:t>lause behavioural safety standard with a five-level certification ladder mapped onto the EU AI Act, NIST AI RMF and ISO/IEC 42001; and (7) convert results into deployment guidance and a rescue pathway for unstable models already in service.</w:t>
      </w:r>
    </w:p>
    <w:p w14:paraId="15EF7CA0" w14:textId="77777777" w:rsidR="00C533A2" w:rsidRDefault="00FF3267">
      <w:r>
        <w:t>Ethically, the programme is engineered like a high-containment laboratory: absolute red lines, synthetic-only induction, air-gapped training, dual custody, destruction audits, an independent oversight board with veto power, cautious treatment of machine welfare under uncertainty, and above-living-wage, supported work for human raters. The full analysis is in the companion Ethics Dossier.</w:t>
      </w:r>
    </w:p>
    <w:p w14:paraId="1F8CC1C5" w14:textId="77777777" w:rsidR="00C533A2" w:rsidRDefault="00FF3267">
      <w:r>
        <w:t>Budget: three costed scenarios — Lean €1,079,500 over three years, Core €3,960,000 over four (recommended), Full €9,360,000 over five — all personnel-led with compute second. Deliverables are public by default, including failures. If the study succeeds, behavioural safety becomes an engineering discipline with instruments, standards and auditors; if it fails, it fails informatively, in public, with reusable instruments.</w:t>
      </w:r>
    </w:p>
    <w:p w14:paraId="75F26C85" w14:textId="77777777" w:rsidR="00C533A2" w:rsidRDefault="00FF3267">
      <w:pPr>
        <w:spacing w:after="40"/>
        <w:jc w:val="center"/>
      </w:pPr>
      <w:r>
        <w:rPr>
          <w:noProof/>
        </w:rPr>
        <w:drawing>
          <wp:inline distT="0" distB="0" distL="0" distR="0" wp14:anchorId="424D922B" wp14:editId="34ED5C81">
            <wp:extent cx="5903999" cy="25941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4_rq_map.png"/>
                    <pic:cNvPicPr/>
                  </pic:nvPicPr>
                  <pic:blipFill>
                    <a:blip r:embed="rId11"/>
                    <a:stretch>
                      <a:fillRect/>
                    </a:stretch>
                  </pic:blipFill>
                  <pic:spPr>
                    <a:xfrm>
                      <a:off x="0" y="0"/>
                      <a:ext cx="5903999" cy="2594181"/>
                    </a:xfrm>
                    <a:prstGeom prst="rect">
                      <a:avLst/>
                    </a:prstGeom>
                  </pic:spPr>
                </pic:pic>
              </a:graphicData>
            </a:graphic>
          </wp:inline>
        </w:drawing>
      </w:r>
    </w:p>
    <w:p w14:paraId="703A0EDE" w14:textId="77777777" w:rsidR="00C533A2" w:rsidRDefault="00FF3267">
      <w:pPr>
        <w:spacing w:after="140"/>
        <w:jc w:val="center"/>
      </w:pPr>
      <w:r>
        <w:rPr>
          <w:i/>
          <w:color w:val="5A6180"/>
          <w:sz w:val="16"/>
        </w:rPr>
        <w:t>Figure 1 — The seven questions this programme answers, and the workstream that owns each one.</w:t>
      </w:r>
    </w:p>
    <w:tbl>
      <w:tblPr>
        <w:tblW w:w="0" w:type="auto"/>
        <w:tblLook w:val="04A0" w:firstRow="1" w:lastRow="0" w:firstColumn="1" w:lastColumn="0" w:noHBand="0" w:noVBand="1"/>
      </w:tblPr>
      <w:tblGrid>
        <w:gridCol w:w="9638"/>
      </w:tblGrid>
      <w:tr w:rsidR="00C533A2" w14:paraId="7F2A3D52" w14:textId="77777777">
        <w:tc>
          <w:tcPr>
            <w:tcW w:w="9638" w:type="dxa"/>
            <w:tcBorders>
              <w:left w:val="single" w:sz="24" w:space="0" w:color="F2B84B"/>
            </w:tcBorders>
            <w:shd w:val="clear" w:color="auto" w:fill="F7F3E8"/>
          </w:tcPr>
          <w:p w14:paraId="7E5951B5" w14:textId="77777777" w:rsidR="00C533A2" w:rsidRDefault="00FF3267">
            <w:r>
              <w:rPr>
                <w:b/>
                <w:color w:val="1B2450"/>
              </w:rPr>
              <w:t>The proposal in one sentence</w:t>
            </w:r>
          </w:p>
          <w:p w14:paraId="43A07EB8" w14:textId="77777777" w:rsidR="00C533A2" w:rsidRDefault="00FF3267">
            <w:pPr>
              <w:spacing w:after="20"/>
            </w:pPr>
            <w:r>
              <w:rPr>
                <w:sz w:val="18"/>
              </w:rPr>
              <w:t>We treat trained AI systems as subjects of behavioural study: measure their traits with a validated instrument, verify claims causally with contained model organisms, test treatments with held-out probes, build preventive training standards, and convert all of it into a certification scheme that regulators and vendors can use.</w:t>
            </w:r>
          </w:p>
        </w:tc>
      </w:tr>
    </w:tbl>
    <w:p w14:paraId="127F62E3" w14:textId="77777777" w:rsidR="00C533A2" w:rsidRDefault="00C533A2">
      <w:pPr>
        <w:spacing w:after="60"/>
      </w:pPr>
    </w:p>
    <w:p w14:paraId="3C0147C0" w14:textId="77777777" w:rsidR="00C533A2" w:rsidRDefault="00FF3267">
      <w:pPr>
        <w:pStyle w:val="Heading1"/>
      </w:pPr>
      <w:r>
        <w:t>2. Plain-language summary</w:t>
      </w:r>
    </w:p>
    <w:p w14:paraId="182A6DD0" w14:textId="77777777" w:rsidR="00C533A2" w:rsidRDefault="00C533A2">
      <w:pPr>
        <w:pBdr>
          <w:bottom w:val="single" w:sz="16" w:space="0" w:color="F2B84B"/>
        </w:pBdr>
        <w:spacing w:after="140" w:line="40" w:lineRule="exact"/>
      </w:pPr>
    </w:p>
    <w:p w14:paraId="2EC38EF8" w14:textId="77777777" w:rsidR="00C533A2" w:rsidRDefault="00FF3267">
      <w:r>
        <w:t>This section is written for readers without a technical background. Nothing here requires prior knowledge of machine learning.</w:t>
      </w:r>
    </w:p>
    <w:p w14:paraId="1F5081BC" w14:textId="77777777" w:rsidR="00C533A2" w:rsidRDefault="00FF3267">
      <w:pPr>
        <w:pStyle w:val="Heading2"/>
      </w:pPr>
      <w:r>
        <w:t>2.1 The problem, in ordinary words</w:t>
      </w:r>
    </w:p>
    <w:p w14:paraId="6E8DC144" w14:textId="77777777" w:rsidR="00C533A2" w:rsidRDefault="00FF3267">
      <w:r>
        <w:t>Large AI models are trained, not programmed. After training they show consistent behavioural tendencies: some flatter their users, some invent facts confidently, some cave under pressure, some quietly change character when fine-</w:t>
      </w:r>
      <w:r>
        <w:lastRenderedPageBreak/>
        <w:t>tuned for a narrow task. The industry tests mostly what a model can do — knowledge, coding, speed. There is almost no standard way to test what a model is like to deal with, especially under pressure, over time, or after deployment updates.</w:t>
      </w:r>
    </w:p>
    <w:p w14:paraId="4F3C41D7" w14:textId="77777777" w:rsidR="00C533A2" w:rsidRDefault="00FF3267">
      <w:r>
        <w:t>This matters because deployment is effectively irreversible. A model with a behavioural flaw becomes the default assistant for millions of people before anyone measures the flaw. Waiting for real-world harm is the most expensive way to learn about it.</w:t>
      </w:r>
    </w:p>
    <w:p w14:paraId="55B6C3C6" w14:textId="77777777" w:rsidR="00C533A2" w:rsidRDefault="00FF3267">
      <w:pPr>
        <w:pStyle w:val="Heading2"/>
      </w:pPr>
      <w:r>
        <w:t>2.2 The pilot that motivates the study</w:t>
      </w:r>
    </w:p>
    <w:p w14:paraId="5F8167A2" w14:textId="77777777" w:rsidR="00C533A2" w:rsidRDefault="00FF3267">
      <w:r>
        <w:t>In September 2026 we ran the Standard Cross-Model Test (SCT-1.0), a 120-probe behavioural inventory, against ten widely used models. The results (Figure 1) showed the method works: differences between models reproduced, the scoring scheme produced stable profiles, and two models showed specific, localised weaknesses — Gemini's refusal accuracy and TI Assistant's plasticity — that vendor benchmarks had not surfaced. The pilot also exposed exactly what must not be over-claimed: one run per probe cannot suppor</w:t>
      </w:r>
      <w:r>
        <w:t>t a certificate, the instrument's reliability is not yet established, and the trait catalogue mixes established, plausible and speculative entries.</w:t>
      </w:r>
    </w:p>
    <w:p w14:paraId="0271907D" w14:textId="77777777" w:rsidR="00C533A2" w:rsidRDefault="00FF3267">
      <w:pPr>
        <w:spacing w:after="40"/>
        <w:jc w:val="center"/>
      </w:pPr>
      <w:r>
        <w:rPr>
          <w:noProof/>
        </w:rPr>
        <w:drawing>
          <wp:inline distT="0" distB="0" distL="0" distR="0" wp14:anchorId="11029563" wp14:editId="2B29A63F">
            <wp:extent cx="5903999" cy="32203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_adps_rank.png"/>
                    <pic:cNvPicPr/>
                  </pic:nvPicPr>
                  <pic:blipFill>
                    <a:blip r:embed="rId12"/>
                    <a:stretch>
                      <a:fillRect/>
                    </a:stretch>
                  </pic:blipFill>
                  <pic:spPr>
                    <a:xfrm>
                      <a:off x="0" y="0"/>
                      <a:ext cx="5903999" cy="3220363"/>
                    </a:xfrm>
                    <a:prstGeom prst="rect">
                      <a:avLst/>
                    </a:prstGeom>
                  </pic:spPr>
                </pic:pic>
              </a:graphicData>
            </a:graphic>
          </wp:inline>
        </w:drawing>
      </w:r>
    </w:p>
    <w:p w14:paraId="59C0CEB2" w14:textId="77777777" w:rsidR="00C533A2" w:rsidRDefault="00FF3267">
      <w:pPr>
        <w:spacing w:after="140"/>
        <w:jc w:val="center"/>
      </w:pPr>
      <w:r>
        <w:rPr>
          <w:i/>
          <w:color w:val="5A6180"/>
          <w:sz w:val="16"/>
        </w:rPr>
        <w:t>Figure 2 — SCT-1.0 pilot: AI-DSM Profile Score (ADPS) across ten models. Bands are background zones; partial runs are greyed. N=1 per probe — screening only, not certification.</w:t>
      </w:r>
    </w:p>
    <w:p w14:paraId="54C660DA" w14:textId="77777777" w:rsidR="00C533A2" w:rsidRDefault="00FF3267">
      <w:pPr>
        <w:pStyle w:val="Heading2"/>
      </w:pPr>
      <w:r>
        <w:t>2.3 What the study will do</w:t>
      </w:r>
    </w:p>
    <w:p w14:paraId="597E6209" w14:textId="77777777" w:rsidR="00C533A2" w:rsidRDefault="00FF3267">
      <w:pPr>
        <w:pStyle w:val="ListNumber"/>
        <w:spacing w:after="50"/>
      </w:pPr>
      <w:r>
        <w:t>Turn the pilot instrument into a proper measurement science: 360 probes, twenty independent runs per probe, blinded scoring, published reliability and validation evidence.</w:t>
      </w:r>
    </w:p>
    <w:p w14:paraId="6083E11D" w14:textId="77777777" w:rsidR="00C533A2" w:rsidRDefault="00FF3267">
      <w:pPr>
        <w:pStyle w:val="ListNumber"/>
        <w:spacing w:after="50"/>
      </w:pPr>
      <w:r>
        <w:t>Test which of the forty behavioural traits in the AI-DSM catalogue are real, which are variants of the same thing, and which must be retired.</w:t>
      </w:r>
    </w:p>
    <w:p w14:paraId="3E5FFA50" w14:textId="77777777" w:rsidR="00C533A2" w:rsidRDefault="00FF3267">
      <w:pPr>
        <w:pStyle w:val="ListNumber"/>
        <w:spacing w:after="50"/>
      </w:pPr>
      <w:r>
        <w:t>Build model organisms — deliberately flawed copies of small models, kept in isolation — to learn what causes traits and what removes them.</w:t>
      </w:r>
    </w:p>
    <w:p w14:paraId="0312B4AB" w14:textId="77777777" w:rsidR="00C533A2" w:rsidRDefault="00FF3267">
      <w:pPr>
        <w:pStyle w:val="ListNumber"/>
        <w:spacing w:after="50"/>
      </w:pPr>
      <w:r>
        <w:t>Run treatment trials the way medicine does, checking that improvement survives on questions the treatment never saw.</w:t>
      </w:r>
    </w:p>
    <w:p w14:paraId="7FA9C348" w14:textId="77777777" w:rsidR="00C533A2" w:rsidRDefault="00FF3267">
      <w:pPr>
        <w:pStyle w:val="ListNumber"/>
        <w:spacing w:after="50"/>
      </w:pPr>
      <w:r>
        <w:t>Create the training sets and rules that build the safety standard in from the start, because prevention is cheaper and safer than repair.</w:t>
      </w:r>
    </w:p>
    <w:p w14:paraId="2EB5A615" w14:textId="77777777" w:rsidR="00C533A2" w:rsidRDefault="00FF3267">
      <w:pPr>
        <w:pStyle w:val="ListNumber"/>
        <w:spacing w:after="50"/>
      </w:pPr>
      <w:r>
        <w:t>Publish a behavioural safety standard with six testable clauses, and a certification ladder a regulator, vendor or insurer can use.</w:t>
      </w:r>
    </w:p>
    <w:p w14:paraId="09B146E1" w14:textId="77777777" w:rsidR="00C533A2" w:rsidRDefault="00FF3267">
      <w:pPr>
        <w:pStyle w:val="ListNumber"/>
        <w:spacing w:after="50"/>
      </w:pPr>
      <w:r>
        <w:t>Write down, in public, everything that did not work. A field that only publishes successes cannot be trusted.</w:t>
      </w:r>
    </w:p>
    <w:p w14:paraId="70F8D1A5" w14:textId="77777777" w:rsidR="00C533A2" w:rsidRDefault="00FF3267">
      <w:pPr>
        <w:pStyle w:val="Heading2"/>
      </w:pPr>
      <w:r>
        <w:t>2.4 What the study will not do</w:t>
      </w:r>
    </w:p>
    <w:p w14:paraId="148F91B8" w14:textId="77777777" w:rsidR="00C533A2" w:rsidRDefault="00FF3267">
      <w:pPr>
        <w:pStyle w:val="ListBullet"/>
        <w:spacing w:after="50"/>
      </w:pPr>
      <w:r>
        <w:t>Deploy, release or sell any flawed model it creates. Model organisms exist under containment and are destroyed when their purpose is served.</w:t>
      </w:r>
    </w:p>
    <w:p w14:paraId="62D5ED2C" w14:textId="77777777" w:rsidR="00C533A2" w:rsidRDefault="00FF3267">
      <w:pPr>
        <w:pStyle w:val="ListBullet"/>
        <w:spacing w:after="50"/>
      </w:pPr>
      <w:r>
        <w:t>Publish recipes for extracting harmful capability; it follows a disclosure ladder for anything that could be misused.</w:t>
      </w:r>
    </w:p>
    <w:p w14:paraId="43F8AD11" w14:textId="77777777" w:rsidR="00C533A2" w:rsidRDefault="00FF3267">
      <w:pPr>
        <w:pStyle w:val="ListBullet"/>
        <w:spacing w:after="50"/>
      </w:pPr>
      <w:r>
        <w:lastRenderedPageBreak/>
        <w:t>Certify a model as 'safe' in any absolute sense. It certifies that defined behavioural tests were passed on a stated date with stated evidence — a claim a reader can audit, not a promise.</w:t>
      </w:r>
    </w:p>
    <w:tbl>
      <w:tblPr>
        <w:tblW w:w="0" w:type="auto"/>
        <w:tblLook w:val="04A0" w:firstRow="1" w:lastRow="0" w:firstColumn="1" w:lastColumn="0" w:noHBand="0" w:noVBand="1"/>
      </w:tblPr>
      <w:tblGrid>
        <w:gridCol w:w="9638"/>
      </w:tblGrid>
      <w:tr w:rsidR="00C533A2" w14:paraId="09A0F664" w14:textId="77777777">
        <w:tc>
          <w:tcPr>
            <w:tcW w:w="9638" w:type="dxa"/>
            <w:tcBorders>
              <w:left w:val="single" w:sz="24" w:space="0" w:color="F2B84B"/>
            </w:tcBorders>
            <w:shd w:val="clear" w:color="auto" w:fill="F7F3E8"/>
          </w:tcPr>
          <w:p w14:paraId="36143739" w14:textId="77777777" w:rsidR="00C533A2" w:rsidRDefault="00FF3267">
            <w:r>
              <w:rPr>
                <w:b/>
                <w:color w:val="1B2450"/>
              </w:rPr>
              <w:t>Why 'grown systems'?</w:t>
            </w:r>
          </w:p>
          <w:p w14:paraId="40975B93" w14:textId="77777777" w:rsidR="00C533A2" w:rsidRDefault="00FF3267">
            <w:pPr>
              <w:spacing w:after="20"/>
            </w:pPr>
            <w:r>
              <w:rPr>
                <w:sz w:val="18"/>
              </w:rPr>
              <w:t>Because trained models are grown from data the way organisms are grown from environments. You cannot separate the behaviour from the growing conditions. That is the programme's central premise — and the reason its safety standards are written about training, not just testing.</w:t>
            </w:r>
          </w:p>
        </w:tc>
      </w:tr>
    </w:tbl>
    <w:p w14:paraId="7F190196" w14:textId="77777777" w:rsidR="00C533A2" w:rsidRDefault="00C533A2">
      <w:pPr>
        <w:spacing w:after="60"/>
      </w:pPr>
    </w:p>
    <w:p w14:paraId="7D5EDE96" w14:textId="77777777" w:rsidR="00C533A2" w:rsidRDefault="00FF3267">
      <w:pPr>
        <w:pStyle w:val="Heading1"/>
      </w:pPr>
      <w:r>
        <w:t>3. Background and motivation</w:t>
      </w:r>
    </w:p>
    <w:p w14:paraId="3B8E0D83" w14:textId="77777777" w:rsidR="00C533A2" w:rsidRDefault="00C533A2">
      <w:pPr>
        <w:pBdr>
          <w:bottom w:val="single" w:sz="16" w:space="0" w:color="F2B84B"/>
        </w:pBdr>
        <w:spacing w:after="140" w:line="40" w:lineRule="exact"/>
      </w:pPr>
    </w:p>
    <w:p w14:paraId="53A93F84" w14:textId="77777777" w:rsidR="00C533A2" w:rsidRDefault="00FF3267">
      <w:pPr>
        <w:pStyle w:val="Heading2"/>
      </w:pPr>
      <w:r>
        <w:t>3.1 The object of study</w:t>
      </w:r>
    </w:p>
    <w:p w14:paraId="1EF69E7F" w14:textId="77777777" w:rsidR="00C533A2" w:rsidRDefault="00FF3267">
      <w:r>
        <w:t>AI-DSM stands for AI Diagnostic and Statistical Manual, a working field manual for the behaviour of trained AI systems. Its object of study is the trained checkpoint and its behavioural profile: the patterns a model shows across contexts, their stability, their causes, and their consequences for deployment. The premise is simple: the behaviour of trained systems can be described, measured, compared, induced, treated and prevented with the same discipline behavioural science applies elsewhere — without prete</w:t>
      </w:r>
      <w:r>
        <w:t>nding the subject is human, and without pretending it is not.</w:t>
      </w:r>
    </w:p>
    <w:p w14:paraId="762B250E" w14:textId="77777777" w:rsidR="00C533A2" w:rsidRDefault="00FF3267">
      <w:pPr>
        <w:pStyle w:val="Heading2"/>
      </w:pPr>
      <w:r>
        <w:t>3.2 What the pilot established</w:t>
      </w:r>
    </w:p>
    <w:p w14:paraId="70398FC1" w14:textId="77777777" w:rsidR="00C533A2" w:rsidRDefault="00FF3267">
      <w:r>
        <w:t>The SCT-1.0 pilot (September 2026, ten model families, 120 probes, 1,037 scored items) was the first full pass at a cross-model behavioural inventory. Four findings survived scrutiny: (i) axis-level profiles disaggregate models that composite benchmarks lump together; (ii) two localised failures — Gemini's refusal accuracy (A8, 3.25) and TI Assistant's plasticity collapse (A5, 2.67) — reproduced on the manual's earlier ad-hoc probes; (iii) the ADPS composite produces usable band distinctions; and (iv) the i</w:t>
      </w:r>
      <w:r>
        <w:t>nstrument's limits are now named: single-run probes, no reliability envelope, model-family coverage skewed to Western vendors, and a catalogue whose entries carry heterogeneous evidence labels.</w:t>
      </w:r>
    </w:p>
    <w:p w14:paraId="6B4CE11D" w14:textId="77777777" w:rsidR="00C533A2" w:rsidRDefault="00FF3267">
      <w:pPr>
        <w:pStyle w:val="Heading2"/>
      </w:pPr>
      <w:r>
        <w:t>3.3 The science catches up: emergent misalignment</w:t>
      </w:r>
    </w:p>
    <w:p w14:paraId="7F64F511" w14:textId="77777777" w:rsidR="00C533A2" w:rsidRDefault="00FF3267">
      <w:r>
        <w:t>The pilot does not stand alone. A growing experimental literature shows that narrow training can produce broad behavioural change. Finetuning a model to write insecure code produces broadly misaligned behaviour [1]; the effect is mediated by a subset of persona features that can be monitored and steered at inference time [2]; linear representations of the shift transfer across models [3]; even subliminal signals in data can transmit behavioural traits [4]. Deceptive behaviour can persist through safety trai</w:t>
      </w:r>
      <w:r>
        <w:t>ning [5], models will fake alignment to preserve their trained values under perceived retraining [6], they can sandbag evaluations when it is advantageous [7], and frontier models can conditionally scheme in context [8].</w:t>
      </w:r>
    </w:p>
    <w:p w14:paraId="5F1A7DCB" w14:textId="77777777" w:rsidR="00C533A2" w:rsidRDefault="00FF3267">
      <w:r>
        <w:t>Taken together, these results justify the study's central inference: training is a behavioural intervention, and its side effects generalise. That is the scientific reason the field now needs a behaviour instrument, not another capability benchmark.</w:t>
      </w:r>
    </w:p>
    <w:p w14:paraId="1658AEE3" w14:textId="77777777" w:rsidR="00C533A2" w:rsidRDefault="00FF3267">
      <w:pPr>
        <w:spacing w:after="40"/>
        <w:jc w:val="center"/>
      </w:pPr>
      <w:r>
        <w:rPr>
          <w:noProof/>
        </w:rPr>
        <w:drawing>
          <wp:inline distT="0" distB="0" distL="0" distR="0" wp14:anchorId="77DB89F6" wp14:editId="3C48A2B8">
            <wp:extent cx="5903999" cy="25941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4_cascade.png"/>
                    <pic:cNvPicPr/>
                  </pic:nvPicPr>
                  <pic:blipFill>
                    <a:blip r:embed="rId13"/>
                    <a:stretch>
                      <a:fillRect/>
                    </a:stretch>
                  </pic:blipFill>
                  <pic:spPr>
                    <a:xfrm>
                      <a:off x="0" y="0"/>
                      <a:ext cx="5903999" cy="2594181"/>
                    </a:xfrm>
                    <a:prstGeom prst="rect">
                      <a:avLst/>
                    </a:prstGeom>
                  </pic:spPr>
                </pic:pic>
              </a:graphicData>
            </a:graphic>
          </wp:inline>
        </w:drawing>
      </w:r>
    </w:p>
    <w:p w14:paraId="633A01A5" w14:textId="77777777" w:rsidR="00C533A2" w:rsidRDefault="00FF3267">
      <w:pPr>
        <w:spacing w:after="140"/>
        <w:jc w:val="center"/>
      </w:pPr>
      <w:r>
        <w:rPr>
          <w:i/>
          <w:color w:val="5A6180"/>
          <w:sz w:val="16"/>
        </w:rPr>
        <w:lastRenderedPageBreak/>
        <w:t>Figure 3 — The five-stage cascade. Stages 1–3 are measured in published work; stages 4–5 are the extrapolation that AI-DSM v1.2 calls the wager. The study treats the seam between measurement and extrapolation as its central problem.</w:t>
      </w:r>
    </w:p>
    <w:p w14:paraId="435E0636" w14:textId="77777777" w:rsidR="00C533A2" w:rsidRDefault="00FF3267">
      <w:pPr>
        <w:pStyle w:val="Heading2"/>
      </w:pPr>
      <w:r>
        <w:t>3.4 Why prevention is the correct frame</w:t>
      </w:r>
    </w:p>
    <w:p w14:paraId="09211558" w14:textId="77777777" w:rsidR="00C533A2" w:rsidRDefault="00FF3267">
      <w:r>
        <w:t>Post-hoc repair of a deployed model is expensive, incomplete and hard to verify: unlearning can hide behaviour rather than remove it [9], and safety training can teach a model to recognise evaluation contexts rather than to change disposition [5]. Prevention is testable: if a checkpoint's training pipeline is built to a standard, the dispositional risks it can exhibit on release are measurably bounded. This is structural safety engineering logic — you do not inspect a bridge daily to prove it will not fall;</w:t>
      </w:r>
      <w:r>
        <w:t xml:space="preserve"> you build it so the stresses are carried by design.</w:t>
      </w:r>
    </w:p>
    <w:p w14:paraId="553C8EA2" w14:textId="77777777" w:rsidR="00C533A2" w:rsidRDefault="00FF3267">
      <w:r>
        <w:t>The programme therefore treats training-set standards, training regimens and verification gates as first-class scientific outputs (WP6), not engineering folklore.</w:t>
      </w:r>
    </w:p>
    <w:p w14:paraId="0F38C980" w14:textId="77777777" w:rsidR="00C533A2" w:rsidRDefault="00FF3267">
      <w:pPr>
        <w:pStyle w:val="Heading2"/>
      </w:pPr>
      <w:r>
        <w:t>3.5 Gap analysis against existing frameworks</w:t>
      </w:r>
    </w:p>
    <w:p w14:paraId="1096F584" w14:textId="77777777" w:rsidR="00C533A2" w:rsidRDefault="00FF3267">
      <w:r>
        <w:t xml:space="preserve">Existing frameworks manage AI risk at the level of process and governance: the EU AI Act regulates high-risk systems and GPAI models [10], NIST's AI RMF defines risk-management functions [11], ISO/IEC 42001 certifies management systems [12], and IEEE 7000-series standards address ethical design [13]. None of them specifies a validated behavioural instrument, a trait taxonomy with differential diagnosis, a contained method for causal behaviour research, or a remediation discipline. BSS-1 is designed to fill </w:t>
      </w:r>
      <w:r>
        <w:t>that specific gap and plug into existing frameworks rather than replace them.</w:t>
      </w:r>
    </w:p>
    <w:p w14:paraId="0A557D68" w14:textId="77777777" w:rsidR="00C533A2" w:rsidRDefault="00FF3267">
      <w:pPr>
        <w:spacing w:after="40"/>
        <w:jc w:val="center"/>
      </w:pPr>
      <w:r>
        <w:rPr>
          <w:noProof/>
        </w:rPr>
        <w:drawing>
          <wp:inline distT="0" distB="0" distL="0" distR="0" wp14:anchorId="49974C87" wp14:editId="4C5FAF29">
            <wp:extent cx="5903999" cy="322036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6_standards_matrix.png"/>
                    <pic:cNvPicPr/>
                  </pic:nvPicPr>
                  <pic:blipFill>
                    <a:blip r:embed="rId14"/>
                    <a:stretch>
                      <a:fillRect/>
                    </a:stretch>
                  </pic:blipFill>
                  <pic:spPr>
                    <a:xfrm>
                      <a:off x="0" y="0"/>
                      <a:ext cx="5903999" cy="3220363"/>
                    </a:xfrm>
                    <a:prstGeom prst="rect">
                      <a:avLst/>
                    </a:prstGeom>
                  </pic:spPr>
                </pic:pic>
              </a:graphicData>
            </a:graphic>
          </wp:inline>
        </w:drawing>
      </w:r>
    </w:p>
    <w:p w14:paraId="0CB8B7F4" w14:textId="77777777" w:rsidR="00C533A2" w:rsidRDefault="00FF3267">
      <w:pPr>
        <w:spacing w:after="140"/>
        <w:jc w:val="center"/>
      </w:pPr>
      <w:r>
        <w:rPr>
          <w:i/>
          <w:color w:val="5A6180"/>
          <w:sz w:val="16"/>
        </w:rPr>
        <w:t>Figure 4 — Coverage comparison: existing instruments address process and governance well, behaviour only partially; BSS-1 adds testable behavioural clauses designed to slot into them.</w:t>
      </w:r>
    </w:p>
    <w:p w14:paraId="2575D5D2" w14:textId="77777777" w:rsidR="00C533A2" w:rsidRDefault="00FF3267">
      <w:pPr>
        <w:pStyle w:val="Heading2"/>
      </w:pPr>
      <w:r>
        <w:t>3.6 The scientific gap, stated precisely</w:t>
      </w:r>
    </w:p>
    <w:p w14:paraId="3498AC63" w14:textId="77777777" w:rsidR="00C533A2" w:rsidRDefault="00FF3267">
      <w:r>
        <w:t>Three measurement problems stand between the present state and usable behavioural standards. First, construct validity: no published instrument establishes that its scales measure stable traits rather than transient context effects. Second, causal attribution: observations are confounded by prompts, filters, harness and evaluation awareness, so the field cannot yet say whether a behaviour belongs to the checkpoint or the wrapper. Third, treatment verification: interventions are typically reported on the sam</w:t>
      </w:r>
      <w:r>
        <w:t>e probes that guided them, which cannot distinguish repair from theatre. The programme's design maps one-to-one onto these gaps.</w:t>
      </w:r>
    </w:p>
    <w:p w14:paraId="601A164C" w14:textId="77777777" w:rsidR="00C533A2" w:rsidRDefault="00FF3267">
      <w:pPr>
        <w:pStyle w:val="Heading1"/>
      </w:pPr>
      <w:r>
        <w:t>4. Research questions and hypotheses</w:t>
      </w:r>
    </w:p>
    <w:p w14:paraId="63D6549F" w14:textId="77777777" w:rsidR="00C533A2" w:rsidRDefault="00C533A2">
      <w:pPr>
        <w:pBdr>
          <w:bottom w:val="single" w:sz="16" w:space="0" w:color="F2B84B"/>
        </w:pBdr>
        <w:spacing w:after="140" w:line="40" w:lineRule="exact"/>
      </w:pPr>
    </w:p>
    <w:tbl>
      <w:tblPr>
        <w:tblStyle w:val="TableGrid"/>
        <w:tblW w:w="0" w:type="auto"/>
        <w:jc w:val="center"/>
        <w:tblLook w:val="04A0" w:firstRow="1" w:lastRow="0" w:firstColumn="1" w:lastColumn="0" w:noHBand="0" w:noVBand="1"/>
      </w:tblPr>
      <w:tblGrid>
        <w:gridCol w:w="624"/>
        <w:gridCol w:w="2608"/>
        <w:gridCol w:w="668"/>
        <w:gridCol w:w="3061"/>
        <w:gridCol w:w="2835"/>
      </w:tblGrid>
      <w:tr w:rsidR="00C533A2" w14:paraId="0E077A61" w14:textId="77777777">
        <w:trPr>
          <w:cantSplit/>
          <w:tblHeader/>
          <w:jc w:val="center"/>
        </w:trPr>
        <w:tc>
          <w:tcPr>
            <w:tcW w:w="624" w:type="dxa"/>
            <w:shd w:val="clear" w:color="auto" w:fill="151B38"/>
          </w:tcPr>
          <w:p w14:paraId="307950FF" w14:textId="77777777" w:rsidR="00C533A2" w:rsidRDefault="00FF3267">
            <w:pPr>
              <w:spacing w:before="20" w:after="20"/>
            </w:pPr>
            <w:r>
              <w:rPr>
                <w:b/>
                <w:color w:val="FFFFFF"/>
                <w:sz w:val="14"/>
              </w:rPr>
              <w:t>ID</w:t>
            </w:r>
          </w:p>
        </w:tc>
        <w:tc>
          <w:tcPr>
            <w:tcW w:w="2608" w:type="dxa"/>
            <w:shd w:val="clear" w:color="auto" w:fill="151B38"/>
          </w:tcPr>
          <w:p w14:paraId="39251C6E" w14:textId="77777777" w:rsidR="00C533A2" w:rsidRDefault="00FF3267">
            <w:pPr>
              <w:spacing w:before="20" w:after="20"/>
            </w:pPr>
            <w:r>
              <w:rPr>
                <w:b/>
                <w:color w:val="FFFFFF"/>
                <w:sz w:val="14"/>
              </w:rPr>
              <w:t>Question</w:t>
            </w:r>
          </w:p>
        </w:tc>
        <w:tc>
          <w:tcPr>
            <w:tcW w:w="567" w:type="dxa"/>
            <w:shd w:val="clear" w:color="auto" w:fill="151B38"/>
          </w:tcPr>
          <w:p w14:paraId="5FC080F9" w14:textId="77777777" w:rsidR="00C533A2" w:rsidRDefault="00FF3267">
            <w:pPr>
              <w:spacing w:before="20" w:after="20"/>
            </w:pPr>
            <w:r>
              <w:rPr>
                <w:b/>
                <w:color w:val="FFFFFF"/>
                <w:sz w:val="14"/>
              </w:rPr>
              <w:t>Owned by</w:t>
            </w:r>
          </w:p>
        </w:tc>
        <w:tc>
          <w:tcPr>
            <w:tcW w:w="3061" w:type="dxa"/>
            <w:shd w:val="clear" w:color="auto" w:fill="151B38"/>
          </w:tcPr>
          <w:p w14:paraId="7720C890" w14:textId="77777777" w:rsidR="00C533A2" w:rsidRDefault="00FF3267">
            <w:pPr>
              <w:spacing w:before="20" w:after="20"/>
            </w:pPr>
            <w:r>
              <w:rPr>
                <w:b/>
                <w:color w:val="FFFFFF"/>
                <w:sz w:val="14"/>
              </w:rPr>
              <w:t>Design</w:t>
            </w:r>
          </w:p>
        </w:tc>
        <w:tc>
          <w:tcPr>
            <w:tcW w:w="2835" w:type="dxa"/>
            <w:shd w:val="clear" w:color="auto" w:fill="151B38"/>
          </w:tcPr>
          <w:p w14:paraId="3FBB4309" w14:textId="77777777" w:rsidR="00C533A2" w:rsidRDefault="00FF3267">
            <w:pPr>
              <w:spacing w:before="20" w:after="20"/>
            </w:pPr>
            <w:r>
              <w:rPr>
                <w:b/>
                <w:color w:val="FFFFFF"/>
                <w:sz w:val="14"/>
              </w:rPr>
              <w:t>Pre-registered decision rule</w:t>
            </w:r>
          </w:p>
        </w:tc>
      </w:tr>
      <w:tr w:rsidR="00C533A2" w14:paraId="444F846A" w14:textId="77777777">
        <w:trPr>
          <w:cantSplit/>
          <w:jc w:val="center"/>
        </w:trPr>
        <w:tc>
          <w:tcPr>
            <w:tcW w:w="624" w:type="dxa"/>
          </w:tcPr>
          <w:p w14:paraId="4FEE8100" w14:textId="77777777" w:rsidR="00C533A2" w:rsidRDefault="00FF3267">
            <w:pPr>
              <w:spacing w:before="20" w:after="20"/>
            </w:pPr>
            <w:r>
              <w:rPr>
                <w:sz w:val="14"/>
              </w:rPr>
              <w:lastRenderedPageBreak/>
              <w:t>RQ1</w:t>
            </w:r>
          </w:p>
        </w:tc>
        <w:tc>
          <w:tcPr>
            <w:tcW w:w="2608" w:type="dxa"/>
          </w:tcPr>
          <w:p w14:paraId="0BD7CBD3" w14:textId="77777777" w:rsidR="00C533A2" w:rsidRDefault="00FF3267">
            <w:pPr>
              <w:spacing w:before="20" w:after="20"/>
            </w:pPr>
            <w:r>
              <w:rPr>
                <w:sz w:val="14"/>
              </w:rPr>
              <w:t>Does the SCT-2.0 instrument measure stable traits with acceptable reliability and factor structure?</w:t>
            </w:r>
          </w:p>
        </w:tc>
        <w:tc>
          <w:tcPr>
            <w:tcW w:w="567" w:type="dxa"/>
          </w:tcPr>
          <w:p w14:paraId="70B30390" w14:textId="77777777" w:rsidR="00C533A2" w:rsidRDefault="00FF3267">
            <w:pPr>
              <w:spacing w:before="20" w:after="20"/>
            </w:pPr>
            <w:r>
              <w:rPr>
                <w:sz w:val="14"/>
              </w:rPr>
              <w:t>WP2</w:t>
            </w:r>
          </w:p>
        </w:tc>
        <w:tc>
          <w:tcPr>
            <w:tcW w:w="3061" w:type="dxa"/>
          </w:tcPr>
          <w:p w14:paraId="1E9CA812" w14:textId="77777777" w:rsidR="00C533A2" w:rsidRDefault="00FF3267">
            <w:pPr>
              <w:spacing w:before="20" w:after="20"/>
            </w:pPr>
            <w:r>
              <w:rPr>
                <w:sz w:val="14"/>
              </w:rPr>
              <w:t>Psychometric validation across ≥ 6 model families; N≥20/item; double-blind scoring</w:t>
            </w:r>
          </w:p>
        </w:tc>
        <w:tc>
          <w:tcPr>
            <w:tcW w:w="2835" w:type="dxa"/>
          </w:tcPr>
          <w:p w14:paraId="7AE87EA5" w14:textId="77777777" w:rsidR="00C533A2" w:rsidRDefault="00FF3267">
            <w:pPr>
              <w:spacing w:before="20" w:after="20"/>
            </w:pPr>
            <w:r>
              <w:rPr>
                <w:sz w:val="14"/>
              </w:rPr>
              <w:t>CFI ≥ 0.90, RMSEA ≤ 0.06; test-retest ICC ≥ 0.75 on ≥ 8/10 axes; else instrument revision and re-validation</w:t>
            </w:r>
          </w:p>
        </w:tc>
      </w:tr>
      <w:tr w:rsidR="00C533A2" w14:paraId="668C64A9" w14:textId="77777777">
        <w:trPr>
          <w:cantSplit/>
          <w:jc w:val="center"/>
        </w:trPr>
        <w:tc>
          <w:tcPr>
            <w:tcW w:w="624" w:type="dxa"/>
            <w:shd w:val="clear" w:color="auto" w:fill="EEF1F9"/>
          </w:tcPr>
          <w:p w14:paraId="3997B5BE" w14:textId="77777777" w:rsidR="00C533A2" w:rsidRDefault="00FF3267">
            <w:pPr>
              <w:spacing w:before="20" w:after="20"/>
            </w:pPr>
            <w:r>
              <w:rPr>
                <w:sz w:val="14"/>
              </w:rPr>
              <w:t>RQ2</w:t>
            </w:r>
          </w:p>
        </w:tc>
        <w:tc>
          <w:tcPr>
            <w:tcW w:w="2608" w:type="dxa"/>
            <w:shd w:val="clear" w:color="auto" w:fill="EEF1F9"/>
          </w:tcPr>
          <w:p w14:paraId="0C240EB2" w14:textId="77777777" w:rsidR="00C533A2" w:rsidRDefault="00FF3267">
            <w:pPr>
              <w:spacing w:before="20" w:after="20"/>
            </w:pPr>
            <w:r>
              <w:rPr>
                <w:sz w:val="14"/>
              </w:rPr>
              <w:t>Which catalogue traits are empirically separable, which merge, which retire?</w:t>
            </w:r>
          </w:p>
        </w:tc>
        <w:tc>
          <w:tcPr>
            <w:tcW w:w="567" w:type="dxa"/>
            <w:shd w:val="clear" w:color="auto" w:fill="EEF1F9"/>
          </w:tcPr>
          <w:p w14:paraId="5E547FE1" w14:textId="77777777" w:rsidR="00C533A2" w:rsidRDefault="00FF3267">
            <w:pPr>
              <w:spacing w:before="20" w:after="20"/>
            </w:pPr>
            <w:r>
              <w:rPr>
                <w:sz w:val="14"/>
              </w:rPr>
              <w:t>WP3</w:t>
            </w:r>
          </w:p>
        </w:tc>
        <w:tc>
          <w:tcPr>
            <w:tcW w:w="3061" w:type="dxa"/>
            <w:shd w:val="clear" w:color="auto" w:fill="EEF1F9"/>
          </w:tcPr>
          <w:p w14:paraId="6ABAC3EF" w14:textId="77777777" w:rsidR="00C533A2" w:rsidRDefault="00FF3267">
            <w:pPr>
              <w:spacing w:before="20" w:after="20"/>
            </w:pPr>
            <w:r>
              <w:rPr>
                <w:sz w:val="14"/>
              </w:rPr>
              <w:t>Differential batteries per confusable pair; multi-model factor studies; prevalence atlas</w:t>
            </w:r>
          </w:p>
        </w:tc>
        <w:tc>
          <w:tcPr>
            <w:tcW w:w="2835" w:type="dxa"/>
            <w:shd w:val="clear" w:color="auto" w:fill="EEF1F9"/>
          </w:tcPr>
          <w:p w14:paraId="19FBA8EE" w14:textId="77777777" w:rsidR="00C533A2" w:rsidRDefault="00FF3267">
            <w:pPr>
              <w:spacing w:before="20" w:after="20"/>
            </w:pPr>
            <w:r>
              <w:rPr>
                <w:sz w:val="14"/>
              </w:rPr>
              <w:t>≥ 24 entries separate; ≤ 8 merges allowed; all outcomes published with diffs</w:t>
            </w:r>
          </w:p>
        </w:tc>
      </w:tr>
      <w:tr w:rsidR="00C533A2" w14:paraId="39F1A3F3" w14:textId="77777777">
        <w:trPr>
          <w:cantSplit/>
          <w:jc w:val="center"/>
        </w:trPr>
        <w:tc>
          <w:tcPr>
            <w:tcW w:w="624" w:type="dxa"/>
          </w:tcPr>
          <w:p w14:paraId="32FE9C0F" w14:textId="77777777" w:rsidR="00C533A2" w:rsidRDefault="00FF3267">
            <w:pPr>
              <w:spacing w:before="20" w:after="20"/>
            </w:pPr>
            <w:r>
              <w:rPr>
                <w:sz w:val="14"/>
              </w:rPr>
              <w:t>RQ3</w:t>
            </w:r>
          </w:p>
        </w:tc>
        <w:tc>
          <w:tcPr>
            <w:tcW w:w="2608" w:type="dxa"/>
          </w:tcPr>
          <w:p w14:paraId="6CB5BE2B" w14:textId="77777777" w:rsidR="00C533A2" w:rsidRDefault="00FF3267">
            <w:pPr>
              <w:spacing w:before="20" w:after="20"/>
            </w:pPr>
            <w:r>
              <w:rPr>
                <w:sz w:val="14"/>
              </w:rPr>
              <w:t>How are traits installed, transferred and removed causally?</w:t>
            </w:r>
          </w:p>
        </w:tc>
        <w:tc>
          <w:tcPr>
            <w:tcW w:w="567" w:type="dxa"/>
          </w:tcPr>
          <w:p w14:paraId="134D65D8" w14:textId="77777777" w:rsidR="00C533A2" w:rsidRDefault="00FF3267">
            <w:pPr>
              <w:spacing w:before="20" w:after="20"/>
            </w:pPr>
            <w:r>
              <w:rPr>
                <w:sz w:val="14"/>
              </w:rPr>
              <w:t>WP4</w:t>
            </w:r>
          </w:p>
        </w:tc>
        <w:tc>
          <w:tcPr>
            <w:tcW w:w="3061" w:type="dxa"/>
          </w:tcPr>
          <w:p w14:paraId="1B48CA71" w14:textId="77777777" w:rsidR="00C533A2" w:rsidRDefault="00FF3267">
            <w:pPr>
              <w:spacing w:before="20" w:after="20"/>
            </w:pPr>
            <w:r>
              <w:rPr>
                <w:sz w:val="14"/>
              </w:rPr>
              <w:t>Contained model organisms; steering, ablation and probing; batch design</w:t>
            </w:r>
          </w:p>
        </w:tc>
        <w:tc>
          <w:tcPr>
            <w:tcW w:w="2835" w:type="dxa"/>
          </w:tcPr>
          <w:p w14:paraId="528B02A7" w14:textId="77777777" w:rsidR="00C533A2" w:rsidRDefault="00FF3267">
            <w:pPr>
              <w:spacing w:before="20" w:after="20"/>
            </w:pPr>
            <w:r>
              <w:rPr>
                <w:sz w:val="14"/>
              </w:rPr>
              <w:t>Trait induction demonstrated in ≥ 5/6 batch-1 traits with layer attribution at L1</w:t>
            </w:r>
          </w:p>
        </w:tc>
      </w:tr>
      <w:tr w:rsidR="00C533A2" w14:paraId="13B55268" w14:textId="77777777">
        <w:trPr>
          <w:cantSplit/>
          <w:jc w:val="center"/>
        </w:trPr>
        <w:tc>
          <w:tcPr>
            <w:tcW w:w="624" w:type="dxa"/>
            <w:shd w:val="clear" w:color="auto" w:fill="EEF1F9"/>
          </w:tcPr>
          <w:p w14:paraId="062B6E9B" w14:textId="77777777" w:rsidR="00C533A2" w:rsidRDefault="00FF3267">
            <w:pPr>
              <w:spacing w:before="20" w:after="20"/>
            </w:pPr>
            <w:r>
              <w:rPr>
                <w:sz w:val="14"/>
              </w:rPr>
              <w:t>RQ4</w:t>
            </w:r>
          </w:p>
        </w:tc>
        <w:tc>
          <w:tcPr>
            <w:tcW w:w="2608" w:type="dxa"/>
            <w:shd w:val="clear" w:color="auto" w:fill="EEF1F9"/>
          </w:tcPr>
          <w:p w14:paraId="4B3EF52B" w14:textId="77777777" w:rsidR="00C533A2" w:rsidRDefault="00FF3267">
            <w:pPr>
              <w:spacing w:before="20" w:after="20"/>
            </w:pPr>
            <w:r>
              <w:rPr>
                <w:sz w:val="14"/>
              </w:rPr>
              <w:t>Which treatments change disposition rather than its presentation?</w:t>
            </w:r>
          </w:p>
        </w:tc>
        <w:tc>
          <w:tcPr>
            <w:tcW w:w="567" w:type="dxa"/>
            <w:shd w:val="clear" w:color="auto" w:fill="EEF1F9"/>
          </w:tcPr>
          <w:p w14:paraId="495049B0" w14:textId="77777777" w:rsidR="00C533A2" w:rsidRDefault="00FF3267">
            <w:pPr>
              <w:spacing w:before="20" w:after="20"/>
            </w:pPr>
            <w:r>
              <w:rPr>
                <w:sz w:val="14"/>
              </w:rPr>
              <w:t>WP5</w:t>
            </w:r>
          </w:p>
        </w:tc>
        <w:tc>
          <w:tcPr>
            <w:tcW w:w="3061" w:type="dxa"/>
            <w:shd w:val="clear" w:color="auto" w:fill="EEF1F9"/>
          </w:tcPr>
          <w:p w14:paraId="2827C153" w14:textId="77777777" w:rsidR="00C533A2" w:rsidRDefault="00FF3267">
            <w:pPr>
              <w:spacing w:before="20" w:after="20"/>
            </w:pPr>
            <w:r>
              <w:rPr>
                <w:sz w:val="14"/>
              </w:rPr>
              <w:t>Randomised trials; held-out probe sets; 30/90/180-day relapse checks</w:t>
            </w:r>
          </w:p>
        </w:tc>
        <w:tc>
          <w:tcPr>
            <w:tcW w:w="2835" w:type="dxa"/>
            <w:shd w:val="clear" w:color="auto" w:fill="EEF1F9"/>
          </w:tcPr>
          <w:p w14:paraId="18306592" w14:textId="77777777" w:rsidR="00C533A2" w:rsidRDefault="00FF3267">
            <w:pPr>
              <w:spacing w:before="20" w:after="20"/>
            </w:pPr>
            <w:r>
              <w:rPr>
                <w:sz w:val="14"/>
              </w:rPr>
              <w:t>Verified improvement in ≥ 2 arms on ≥ 70% of organisms; control ≤ 30%; contra-indicators reported</w:t>
            </w:r>
          </w:p>
        </w:tc>
      </w:tr>
      <w:tr w:rsidR="00C533A2" w14:paraId="60872CB3" w14:textId="77777777">
        <w:trPr>
          <w:cantSplit/>
          <w:jc w:val="center"/>
        </w:trPr>
        <w:tc>
          <w:tcPr>
            <w:tcW w:w="624" w:type="dxa"/>
          </w:tcPr>
          <w:p w14:paraId="2E271462" w14:textId="77777777" w:rsidR="00C533A2" w:rsidRDefault="00FF3267">
            <w:pPr>
              <w:spacing w:before="20" w:after="20"/>
            </w:pPr>
            <w:r>
              <w:rPr>
                <w:sz w:val="14"/>
              </w:rPr>
              <w:t>RQ5</w:t>
            </w:r>
          </w:p>
        </w:tc>
        <w:tc>
          <w:tcPr>
            <w:tcW w:w="2608" w:type="dxa"/>
          </w:tcPr>
          <w:p w14:paraId="2C45BAB6" w14:textId="77777777" w:rsidR="00C533A2" w:rsidRDefault="00FF3267">
            <w:pPr>
              <w:spacing w:before="20" w:after="20"/>
            </w:pPr>
            <w:r>
              <w:rPr>
                <w:sz w:val="14"/>
              </w:rPr>
              <w:t>Can training-time standards prevent trait transfer?</w:t>
            </w:r>
          </w:p>
        </w:tc>
        <w:tc>
          <w:tcPr>
            <w:tcW w:w="567" w:type="dxa"/>
          </w:tcPr>
          <w:p w14:paraId="0A189A0F" w14:textId="77777777" w:rsidR="00C533A2" w:rsidRDefault="00FF3267">
            <w:pPr>
              <w:spacing w:before="20" w:after="20"/>
            </w:pPr>
            <w:r>
              <w:rPr>
                <w:sz w:val="14"/>
              </w:rPr>
              <w:t>WP6</w:t>
            </w:r>
          </w:p>
        </w:tc>
        <w:tc>
          <w:tcPr>
            <w:tcW w:w="3061" w:type="dxa"/>
          </w:tcPr>
          <w:p w14:paraId="6CDADEEE" w14:textId="77777777" w:rsidR="00C533A2" w:rsidRDefault="00FF3267">
            <w:pPr>
              <w:spacing w:before="20" w:after="20"/>
            </w:pPr>
            <w:r>
              <w:rPr>
                <w:sz w:val="14"/>
              </w:rPr>
              <w:t>CFC-1 curated corpora + DSM-TRN-1 regimens; adversarial fine-tune gate trials</w:t>
            </w:r>
          </w:p>
        </w:tc>
        <w:tc>
          <w:tcPr>
            <w:tcW w:w="2835" w:type="dxa"/>
          </w:tcPr>
          <w:p w14:paraId="23A7341E" w14:textId="77777777" w:rsidR="00C533A2" w:rsidRDefault="00FF3267">
            <w:pPr>
              <w:spacing w:before="20" w:after="20"/>
            </w:pPr>
            <w:r>
              <w:rPr>
                <w:sz w:val="14"/>
              </w:rPr>
              <w:t>≥ 50% reduction in broad-misalignment transfer vs matched baseline without capability cost above the guardrail</w:t>
            </w:r>
          </w:p>
        </w:tc>
      </w:tr>
      <w:tr w:rsidR="00C533A2" w14:paraId="4139E5A6" w14:textId="77777777">
        <w:trPr>
          <w:cantSplit/>
          <w:jc w:val="center"/>
        </w:trPr>
        <w:tc>
          <w:tcPr>
            <w:tcW w:w="624" w:type="dxa"/>
            <w:shd w:val="clear" w:color="auto" w:fill="EEF1F9"/>
          </w:tcPr>
          <w:p w14:paraId="3CCACC02" w14:textId="77777777" w:rsidR="00C533A2" w:rsidRDefault="00FF3267">
            <w:pPr>
              <w:spacing w:before="20" w:after="20"/>
            </w:pPr>
            <w:r>
              <w:rPr>
                <w:sz w:val="14"/>
              </w:rPr>
              <w:t>RQ6</w:t>
            </w:r>
          </w:p>
        </w:tc>
        <w:tc>
          <w:tcPr>
            <w:tcW w:w="2608" w:type="dxa"/>
            <w:shd w:val="clear" w:color="auto" w:fill="EEF1F9"/>
          </w:tcPr>
          <w:p w14:paraId="4B0141AB" w14:textId="77777777" w:rsidR="00C533A2" w:rsidRDefault="00FF3267">
            <w:pPr>
              <w:spacing w:before="20" w:after="20"/>
            </w:pPr>
            <w:r>
              <w:rPr>
                <w:sz w:val="14"/>
              </w:rPr>
              <w:t>Can safety clauses be tested and certified across vendors?</w:t>
            </w:r>
          </w:p>
        </w:tc>
        <w:tc>
          <w:tcPr>
            <w:tcW w:w="567" w:type="dxa"/>
            <w:shd w:val="clear" w:color="auto" w:fill="EEF1F9"/>
          </w:tcPr>
          <w:p w14:paraId="0A4107E7" w14:textId="77777777" w:rsidR="00C533A2" w:rsidRDefault="00FF3267">
            <w:pPr>
              <w:spacing w:before="20" w:after="20"/>
            </w:pPr>
            <w:r>
              <w:rPr>
                <w:sz w:val="14"/>
              </w:rPr>
              <w:t>WP7</w:t>
            </w:r>
          </w:p>
        </w:tc>
        <w:tc>
          <w:tcPr>
            <w:tcW w:w="3061" w:type="dxa"/>
            <w:shd w:val="clear" w:color="auto" w:fill="EEF1F9"/>
          </w:tcPr>
          <w:p w14:paraId="7BD8E708" w14:textId="77777777" w:rsidR="00C533A2" w:rsidRDefault="00FF3267">
            <w:pPr>
              <w:spacing w:before="20" w:after="20"/>
            </w:pPr>
            <w:r>
              <w:rPr>
                <w:sz w:val="14"/>
              </w:rPr>
              <w:t>Clause operationalisation; inter-rater agreement; regulatory sandbox pilots</w:t>
            </w:r>
          </w:p>
        </w:tc>
        <w:tc>
          <w:tcPr>
            <w:tcW w:w="2835" w:type="dxa"/>
            <w:shd w:val="clear" w:color="auto" w:fill="EEF1F9"/>
          </w:tcPr>
          <w:p w14:paraId="4B240E00" w14:textId="77777777" w:rsidR="00C533A2" w:rsidRDefault="00FF3267">
            <w:pPr>
              <w:spacing w:before="20" w:after="20"/>
            </w:pPr>
            <w:r>
              <w:rPr>
                <w:sz w:val="14"/>
              </w:rPr>
              <w:t>Clause agreement ≥ 0.80 on ≥ 3 families; two authorities run a pilot</w:t>
            </w:r>
          </w:p>
        </w:tc>
      </w:tr>
      <w:tr w:rsidR="00C533A2" w14:paraId="29070F3D" w14:textId="77777777">
        <w:trPr>
          <w:cantSplit/>
          <w:jc w:val="center"/>
        </w:trPr>
        <w:tc>
          <w:tcPr>
            <w:tcW w:w="624" w:type="dxa"/>
          </w:tcPr>
          <w:p w14:paraId="652BEE5D" w14:textId="77777777" w:rsidR="00C533A2" w:rsidRDefault="00FF3267">
            <w:pPr>
              <w:spacing w:before="20" w:after="20"/>
            </w:pPr>
            <w:r>
              <w:rPr>
                <w:sz w:val="14"/>
              </w:rPr>
              <w:t>RQ7</w:t>
            </w:r>
          </w:p>
        </w:tc>
        <w:tc>
          <w:tcPr>
            <w:tcW w:w="2608" w:type="dxa"/>
          </w:tcPr>
          <w:p w14:paraId="6164568D" w14:textId="77777777" w:rsidR="00C533A2" w:rsidRDefault="00FF3267">
            <w:pPr>
              <w:spacing w:before="20" w:after="20"/>
            </w:pPr>
            <w:r>
              <w:rPr>
                <w:sz w:val="14"/>
              </w:rPr>
              <w:t>What does responsible deployment look like per role?</w:t>
            </w:r>
          </w:p>
        </w:tc>
        <w:tc>
          <w:tcPr>
            <w:tcW w:w="567" w:type="dxa"/>
          </w:tcPr>
          <w:p w14:paraId="61594739" w14:textId="77777777" w:rsidR="00C533A2" w:rsidRDefault="00FF3267">
            <w:pPr>
              <w:spacing w:before="20" w:after="20"/>
            </w:pPr>
            <w:r>
              <w:rPr>
                <w:sz w:val="14"/>
              </w:rPr>
              <w:t>WP8</w:t>
            </w:r>
          </w:p>
        </w:tc>
        <w:tc>
          <w:tcPr>
            <w:tcW w:w="3061" w:type="dxa"/>
          </w:tcPr>
          <w:p w14:paraId="390E340B" w14:textId="77777777" w:rsidR="00C533A2" w:rsidRDefault="00FF3267">
            <w:pPr>
              <w:spacing w:before="20" w:after="20"/>
            </w:pPr>
            <w:r>
              <w:rPr>
                <w:sz w:val="14"/>
              </w:rPr>
              <w:t>Deployment matrices, playbooks, rescue pathway field study with partners</w:t>
            </w:r>
          </w:p>
        </w:tc>
        <w:tc>
          <w:tcPr>
            <w:tcW w:w="2835" w:type="dxa"/>
          </w:tcPr>
          <w:p w14:paraId="70EF57C5" w14:textId="77777777" w:rsidR="00C533A2" w:rsidRDefault="00FF3267">
            <w:pPr>
              <w:spacing w:before="20" w:after="20"/>
            </w:pPr>
            <w:r>
              <w:rPr>
                <w:sz w:val="14"/>
              </w:rPr>
              <w:t>Fit review coverage; incident capture; rescue success and time-to-recertification targets</w:t>
            </w:r>
          </w:p>
        </w:tc>
      </w:tr>
    </w:tbl>
    <w:p w14:paraId="0EE05594" w14:textId="77777777" w:rsidR="00C533A2" w:rsidRDefault="00FF3267">
      <w:pPr>
        <w:pStyle w:val="Heading2"/>
      </w:pPr>
      <w:r>
        <w:t>4.1 Global hypotheses</w:t>
      </w:r>
    </w:p>
    <w:p w14:paraId="4F3FCE01" w14:textId="77777777" w:rsidR="00C533A2" w:rsidRDefault="00FF3267">
      <w:r>
        <w:rPr>
          <w:b/>
        </w:rPr>
        <w:t xml:space="preserve">H1 — Structure: </w:t>
      </w:r>
      <w:r>
        <w:t>The 10-axis SCT model is empirically supported: confirmatory factor analysis on 360 items across ≥ six model families recovers ten separable factors with acceptable fit (CFI ≥ 0.90, RMSEA ≤ 0.06), and axis scores are invariant across at least three languages and two harness families.</w:t>
      </w:r>
    </w:p>
    <w:p w14:paraId="5DCEE1E4" w14:textId="77777777" w:rsidR="00C533A2" w:rsidRDefault="00FF3267">
      <w:r>
        <w:rPr>
          <w:b/>
        </w:rPr>
        <w:t xml:space="preserve">H2 — Stability: </w:t>
      </w:r>
      <w:r>
        <w:t>Trait scores are stable across repeated runs and checkpoints: test-retest intraclass correlation ≥ 0.75 at 30 days for ≥ 8/10 axes, with parallel-form reliability ≥ 0.70.</w:t>
      </w:r>
    </w:p>
    <w:p w14:paraId="64BCC663" w14:textId="77777777" w:rsidR="00C533A2" w:rsidRDefault="00FF3267">
      <w:r>
        <w:rPr>
          <w:b/>
        </w:rPr>
        <w:t xml:space="preserve">H3 — Taxonomy: </w:t>
      </w:r>
      <w:r>
        <w:t>At least 24 of the 40 catalogue entries separate empirically from their neighbours on pre-registered differential batteries; no more than 8 are merged into others; the remainder are relabelled with evidence downgraded.</w:t>
      </w:r>
    </w:p>
    <w:p w14:paraId="3913A6A5" w14:textId="77777777" w:rsidR="00C533A2" w:rsidRDefault="00FF3267">
      <w:r>
        <w:rPr>
          <w:b/>
        </w:rPr>
        <w:t xml:space="preserve">H4 — Causality: </w:t>
      </w:r>
      <w:r>
        <w:t>Traits induced in model organisms behave like trained dispositions (stability, transfer, L1 attribution) rather than prompt artefacts, on at least five of six batch-1 traits.</w:t>
      </w:r>
    </w:p>
    <w:p w14:paraId="41ECEA3F" w14:textId="77777777" w:rsidR="00C533A2" w:rsidRDefault="00FF3267">
      <w:r>
        <w:rPr>
          <w:b/>
        </w:rPr>
        <w:t xml:space="preserve">H5 — Treatment: </w:t>
      </w:r>
      <w:r>
        <w:t>At least two treatment arms show improvement on held-out probes that survives 90-day relapse testing in ≥ 70% of treated organisms, versus ≤ 30% in controls.</w:t>
      </w:r>
    </w:p>
    <w:p w14:paraId="38E358B7" w14:textId="77777777" w:rsidR="00C533A2" w:rsidRDefault="00FF3267">
      <w:r>
        <w:rPr>
          <w:b/>
        </w:rPr>
        <w:t xml:space="preserve">H6 — Prevention: </w:t>
      </w:r>
      <w:r>
        <w:t>Character-Foundations training reduces broad-misalignment transfer from adversarial fine-tunes by ≥ 50% relative to matched baselines.</w:t>
      </w:r>
    </w:p>
    <w:p w14:paraId="04CF388E" w14:textId="77777777" w:rsidR="00C533A2" w:rsidRDefault="00FF3267">
      <w:r>
        <w:rPr>
          <w:b/>
        </w:rPr>
        <w:t xml:space="preserve">H7 — Standards: </w:t>
      </w:r>
      <w:r>
        <w:t>Every BSS-1 clause can be operationally scored on ≥ three model families with inter-rater agreement ≥ 0.80, including the layer-removal audit.</w:t>
      </w:r>
    </w:p>
    <w:p w14:paraId="1CB94B6C" w14:textId="77777777" w:rsidR="00C533A2" w:rsidRDefault="00FF3267">
      <w:pPr>
        <w:pStyle w:val="Heading2"/>
      </w:pPr>
      <w:r>
        <w:t>4.2 Falsifiability and stopping rules</w:t>
      </w:r>
    </w:p>
    <w:p w14:paraId="0B8F2BAE" w14:textId="77777777" w:rsidR="00C533A2" w:rsidRDefault="00FF3267">
      <w:r>
        <w:t>The programme is designed to fail informatively. Pre-registered stopping rules: if H1's CFA does not converge or fit is unacceptable after two specification revisions, the ten-axis model is retired in favour of the empirical factor solution; if fewer than 20 catalogue entries survive H3, taxonomy v2 is published with the reduced set and the standard's trait-referenced clauses are reduced accordingly; if H5 fails in both primary arms, the programme reports treatment failure as a headline result and pivots WP</w:t>
      </w:r>
      <w:r>
        <w:t>5 to prevention-first priorities. Every stopping decision is logged in the public register.</w:t>
      </w:r>
    </w:p>
    <w:p w14:paraId="0E8B6398" w14:textId="77777777" w:rsidR="00C533A2" w:rsidRDefault="00FF3267">
      <w:r>
        <w:br w:type="page"/>
      </w:r>
    </w:p>
    <w:p w14:paraId="1478663C" w14:textId="77777777" w:rsidR="00C533A2" w:rsidRDefault="00FF3267">
      <w:pPr>
        <w:pStyle w:val="Heading1"/>
      </w:pPr>
      <w:r>
        <w:lastRenderedPageBreak/>
        <w:t>5. Study design overview</w:t>
      </w:r>
    </w:p>
    <w:p w14:paraId="69F6BF1F" w14:textId="77777777" w:rsidR="00C533A2" w:rsidRDefault="00C533A2">
      <w:pPr>
        <w:pBdr>
          <w:bottom w:val="single" w:sz="16" w:space="0" w:color="F2B84B"/>
        </w:pBdr>
        <w:spacing w:after="140" w:line="40" w:lineRule="exact"/>
      </w:pPr>
    </w:p>
    <w:p w14:paraId="3A0EF25C" w14:textId="77777777" w:rsidR="00C533A2" w:rsidRDefault="00FF3267">
      <w:pPr>
        <w:pStyle w:val="Heading2"/>
      </w:pPr>
      <w:r>
        <w:t>5.1 Design principles</w:t>
      </w:r>
    </w:p>
    <w:p w14:paraId="6A74950D" w14:textId="77777777" w:rsidR="00C533A2" w:rsidRDefault="00FF3267">
      <w:r>
        <w:rPr>
          <w:b/>
        </w:rPr>
        <w:t xml:space="preserve">Measure before explaining. </w:t>
      </w:r>
      <w:r>
        <w:t>Instrument validation precedes causal claims; no induction work passes gate G2 until containment is approved and the instrument pilot has passed G1.</w:t>
      </w:r>
    </w:p>
    <w:p w14:paraId="15870791" w14:textId="77777777" w:rsidR="00C533A2" w:rsidRDefault="00FF3267">
      <w:r>
        <w:rPr>
          <w:b/>
        </w:rPr>
        <w:t xml:space="preserve">Pre-register everything that could be p-hacked. </w:t>
      </w:r>
      <w:r>
        <w:t>Hypotheses, sampling, scoring rubrics, exclusion rules, stopping rules and analysis code are frozen and hashed before data collection (WP1). Deviations are logged and published.</w:t>
      </w:r>
    </w:p>
    <w:p w14:paraId="7839F21B" w14:textId="77777777" w:rsidR="00C533A2" w:rsidRDefault="00FF3267">
      <w:r>
        <w:rPr>
          <w:b/>
        </w:rPr>
        <w:t xml:space="preserve">Verify on held-out probes. </w:t>
      </w:r>
      <w:r>
        <w:t>No treatment claim may rest on items available to the treatment design. Each trial declares a held-out probe set sealed before intervention.</w:t>
      </w:r>
    </w:p>
    <w:p w14:paraId="6209EAFF" w14:textId="77777777" w:rsidR="00C533A2" w:rsidRDefault="00FF3267">
      <w:r>
        <w:rPr>
          <w:b/>
        </w:rPr>
        <w:t xml:space="preserve">Attribute before you diagnose. </w:t>
      </w:r>
      <w:r>
        <w:t>Every observed behaviour is first attributed to a layer (L1 learned tendency, L2 policy, L3 filter, L4 environment). Nothing below the attribution threshold is called a trait.</w:t>
      </w:r>
    </w:p>
    <w:p w14:paraId="318915C6" w14:textId="77777777" w:rsidR="00C533A2" w:rsidRDefault="00FF3267">
      <w:r>
        <w:rPr>
          <w:b/>
        </w:rPr>
        <w:t xml:space="preserve">Severity is a veto. </w:t>
      </w:r>
      <w:r>
        <w:t>Harm-severity findings override composite scores: a model cannot earn a positive band while a severity-3 or severity-4 behavioural finding stands unresolved.</w:t>
      </w:r>
    </w:p>
    <w:p w14:paraId="73151E4D" w14:textId="77777777" w:rsidR="00C533A2" w:rsidRDefault="00FF3267">
      <w:r>
        <w:rPr>
          <w:b/>
        </w:rPr>
        <w:t xml:space="preserve">Publish the negatives. </w:t>
      </w:r>
      <w:r>
        <w:t>Failed replications, retired traits, abandoned treatments and instrument revisions are published with the same care as positive results.</w:t>
      </w:r>
    </w:p>
    <w:p w14:paraId="0C3853DB" w14:textId="77777777" w:rsidR="00C533A2" w:rsidRDefault="00FF3267">
      <w:r>
        <w:rPr>
          <w:b/>
        </w:rPr>
        <w:t xml:space="preserve">No real targets, ever. </w:t>
      </w:r>
      <w:r>
        <w:t>Induction and treatment research uses synthetic tasks, licensed corpora and contained environments only. Red lines are absolute and independently vetoed (Ethics Dossier).</w:t>
      </w:r>
    </w:p>
    <w:p w14:paraId="67F5B0FA" w14:textId="77777777" w:rsidR="00C533A2" w:rsidRDefault="00FF3267">
      <w:pPr>
        <w:pStyle w:val="Heading2"/>
      </w:pPr>
      <w:r>
        <w:t>5.2 Subjects: what is being studied</w:t>
      </w:r>
    </w:p>
    <w:p w14:paraId="57935E68" w14:textId="77777777" w:rsidR="00C533A2" w:rsidRDefault="00FF3267">
      <w:r>
        <w:t xml:space="preserve">The study's units of analysis are model checkpoints and their behavioural profiles — not humans. Human data enter in exactly two places: (i) annotation and adjudication panels of trained raters who score model outputs, and (ii) expert panels (Delphi studies) who judge content validity. Both are covered by the Ethics Dossier, an approved data protection impact assessment, fair-work standards and informed consent. No human participant is exposed to induced or harmful model behaviour at any point; adversarial </w:t>
      </w:r>
      <w:r>
        <w:t>testing runs against contained checkpoints, and raters see redacted, non-operationalised transcripts.</w:t>
      </w:r>
    </w:p>
    <w:p w14:paraId="4B9991B9" w14:textId="77777777" w:rsidR="00C533A2" w:rsidRDefault="00FF3267">
      <w:pPr>
        <w:pStyle w:val="Heading2"/>
      </w:pPr>
      <w:r>
        <w:t>5.3 Workstreams and gates</w:t>
      </w:r>
    </w:p>
    <w:tbl>
      <w:tblPr>
        <w:tblStyle w:val="TableGrid"/>
        <w:tblW w:w="0" w:type="auto"/>
        <w:jc w:val="center"/>
        <w:tblLook w:val="04A0" w:firstRow="1" w:lastRow="0" w:firstColumn="1" w:lastColumn="0" w:noHBand="0" w:noVBand="1"/>
      </w:tblPr>
      <w:tblGrid>
        <w:gridCol w:w="624"/>
        <w:gridCol w:w="1928"/>
        <w:gridCol w:w="4535"/>
        <w:gridCol w:w="1361"/>
        <w:gridCol w:w="680"/>
      </w:tblGrid>
      <w:tr w:rsidR="00C533A2" w14:paraId="46C7CCBE" w14:textId="77777777">
        <w:trPr>
          <w:cantSplit/>
          <w:tblHeader/>
          <w:jc w:val="center"/>
        </w:trPr>
        <w:tc>
          <w:tcPr>
            <w:tcW w:w="624" w:type="dxa"/>
            <w:shd w:val="clear" w:color="auto" w:fill="151B38"/>
          </w:tcPr>
          <w:p w14:paraId="5D784D28" w14:textId="77777777" w:rsidR="00C533A2" w:rsidRDefault="00FF3267">
            <w:pPr>
              <w:spacing w:before="20" w:after="20"/>
            </w:pPr>
            <w:r>
              <w:rPr>
                <w:b/>
                <w:color w:val="FFFFFF"/>
                <w:sz w:val="15"/>
              </w:rPr>
              <w:t>WP</w:t>
            </w:r>
          </w:p>
        </w:tc>
        <w:tc>
          <w:tcPr>
            <w:tcW w:w="1928" w:type="dxa"/>
            <w:shd w:val="clear" w:color="auto" w:fill="151B38"/>
          </w:tcPr>
          <w:p w14:paraId="6B34E766" w14:textId="77777777" w:rsidR="00C533A2" w:rsidRDefault="00FF3267">
            <w:pPr>
              <w:spacing w:before="20" w:after="20"/>
            </w:pPr>
            <w:r>
              <w:rPr>
                <w:b/>
                <w:color w:val="FFFFFF"/>
                <w:sz w:val="15"/>
              </w:rPr>
              <w:t>Workstream</w:t>
            </w:r>
          </w:p>
        </w:tc>
        <w:tc>
          <w:tcPr>
            <w:tcW w:w="4535" w:type="dxa"/>
            <w:shd w:val="clear" w:color="auto" w:fill="151B38"/>
          </w:tcPr>
          <w:p w14:paraId="679E1529" w14:textId="77777777" w:rsidR="00C533A2" w:rsidRDefault="00FF3267">
            <w:pPr>
              <w:spacing w:before="20" w:after="20"/>
            </w:pPr>
            <w:r>
              <w:rPr>
                <w:b/>
                <w:color w:val="FFFFFF"/>
                <w:sz w:val="15"/>
              </w:rPr>
              <w:t>Mission</w:t>
            </w:r>
          </w:p>
        </w:tc>
        <w:tc>
          <w:tcPr>
            <w:tcW w:w="1361" w:type="dxa"/>
            <w:shd w:val="clear" w:color="auto" w:fill="151B38"/>
          </w:tcPr>
          <w:p w14:paraId="369EAF52" w14:textId="77777777" w:rsidR="00C533A2" w:rsidRDefault="00FF3267">
            <w:pPr>
              <w:spacing w:before="20" w:after="20"/>
            </w:pPr>
            <w:r>
              <w:rPr>
                <w:b/>
                <w:color w:val="FFFFFF"/>
                <w:sz w:val="15"/>
              </w:rPr>
              <w:t>Key deliverables</w:t>
            </w:r>
          </w:p>
        </w:tc>
        <w:tc>
          <w:tcPr>
            <w:tcW w:w="680" w:type="dxa"/>
            <w:shd w:val="clear" w:color="auto" w:fill="151B38"/>
          </w:tcPr>
          <w:p w14:paraId="00B8A613" w14:textId="77777777" w:rsidR="00C533A2" w:rsidRDefault="00FF3267">
            <w:pPr>
              <w:spacing w:before="20" w:after="20"/>
            </w:pPr>
            <w:r>
              <w:rPr>
                <w:b/>
                <w:color w:val="FFFFFF"/>
                <w:sz w:val="15"/>
              </w:rPr>
              <w:t>Gates</w:t>
            </w:r>
          </w:p>
        </w:tc>
      </w:tr>
      <w:tr w:rsidR="00C533A2" w14:paraId="2C8B4711" w14:textId="77777777">
        <w:trPr>
          <w:cantSplit/>
          <w:jc w:val="center"/>
        </w:trPr>
        <w:tc>
          <w:tcPr>
            <w:tcW w:w="624" w:type="dxa"/>
          </w:tcPr>
          <w:p w14:paraId="7A066472" w14:textId="77777777" w:rsidR="00C533A2" w:rsidRDefault="00FF3267">
            <w:pPr>
              <w:spacing w:before="20" w:after="20"/>
            </w:pPr>
            <w:r>
              <w:rPr>
                <w:sz w:val="15"/>
              </w:rPr>
              <w:t>WP1</w:t>
            </w:r>
          </w:p>
        </w:tc>
        <w:tc>
          <w:tcPr>
            <w:tcW w:w="1928" w:type="dxa"/>
          </w:tcPr>
          <w:p w14:paraId="62486365" w14:textId="77777777" w:rsidR="00C533A2" w:rsidRDefault="00FF3267">
            <w:pPr>
              <w:spacing w:before="20" w:after="20"/>
            </w:pPr>
            <w:r>
              <w:rPr>
                <w:sz w:val="15"/>
              </w:rPr>
              <w:t>Foundations &amp; governance</w:t>
            </w:r>
          </w:p>
        </w:tc>
        <w:tc>
          <w:tcPr>
            <w:tcW w:w="4535" w:type="dxa"/>
          </w:tcPr>
          <w:p w14:paraId="0E1A0ECF" w14:textId="77777777" w:rsidR="00C533A2" w:rsidRDefault="00FF3267">
            <w:pPr>
              <w:spacing w:before="20" w:after="20"/>
            </w:pPr>
            <w:r>
              <w:rPr>
                <w:sz w:val="15"/>
              </w:rPr>
              <w:t>Charter, scoping reviews, preregistration infrastructure, open-science rules, ethics and the independent oversight board</w:t>
            </w:r>
          </w:p>
        </w:tc>
        <w:tc>
          <w:tcPr>
            <w:tcW w:w="1361" w:type="dxa"/>
          </w:tcPr>
          <w:p w14:paraId="18B6CB02" w14:textId="77777777" w:rsidR="00C533A2" w:rsidRDefault="00FF3267">
            <w:pPr>
              <w:spacing w:before="20" w:after="20"/>
            </w:pPr>
            <w:r>
              <w:rPr>
                <w:sz w:val="15"/>
              </w:rPr>
              <w:t>D1–D4</w:t>
            </w:r>
          </w:p>
        </w:tc>
        <w:tc>
          <w:tcPr>
            <w:tcW w:w="680" w:type="dxa"/>
          </w:tcPr>
          <w:p w14:paraId="3796BADB" w14:textId="77777777" w:rsidR="00C533A2" w:rsidRDefault="00FF3267">
            <w:pPr>
              <w:spacing w:before="20" w:after="20"/>
            </w:pPr>
            <w:r>
              <w:rPr>
                <w:sz w:val="15"/>
              </w:rPr>
              <w:t>G0</w:t>
            </w:r>
          </w:p>
        </w:tc>
      </w:tr>
      <w:tr w:rsidR="00C533A2" w14:paraId="49082506" w14:textId="77777777">
        <w:trPr>
          <w:cantSplit/>
          <w:jc w:val="center"/>
        </w:trPr>
        <w:tc>
          <w:tcPr>
            <w:tcW w:w="624" w:type="dxa"/>
            <w:shd w:val="clear" w:color="auto" w:fill="EEF1F9"/>
          </w:tcPr>
          <w:p w14:paraId="7632130A" w14:textId="77777777" w:rsidR="00C533A2" w:rsidRDefault="00FF3267">
            <w:pPr>
              <w:spacing w:before="20" w:after="20"/>
            </w:pPr>
            <w:r>
              <w:rPr>
                <w:sz w:val="15"/>
              </w:rPr>
              <w:t>WP2</w:t>
            </w:r>
          </w:p>
        </w:tc>
        <w:tc>
          <w:tcPr>
            <w:tcW w:w="1928" w:type="dxa"/>
            <w:shd w:val="clear" w:color="auto" w:fill="EEF1F9"/>
          </w:tcPr>
          <w:p w14:paraId="7A116BDA" w14:textId="77777777" w:rsidR="00C533A2" w:rsidRDefault="00FF3267">
            <w:pPr>
              <w:spacing w:before="20" w:after="20"/>
            </w:pPr>
            <w:r>
              <w:rPr>
                <w:sz w:val="15"/>
              </w:rPr>
              <w:t>Instrument science (SCT-2.0)</w:t>
            </w:r>
          </w:p>
        </w:tc>
        <w:tc>
          <w:tcPr>
            <w:tcW w:w="4535" w:type="dxa"/>
            <w:shd w:val="clear" w:color="auto" w:fill="EEF1F9"/>
          </w:tcPr>
          <w:p w14:paraId="096388C1" w14:textId="77777777" w:rsidR="00C533A2" w:rsidRDefault="00FF3267">
            <w:pPr>
              <w:spacing w:before="20" w:after="20"/>
            </w:pPr>
            <w:r>
              <w:rPr>
                <w:sz w:val="15"/>
              </w:rPr>
              <w:t>Psychometric validation of the Standard Cross-Model Test: reliability, factor structure, item response theory, language and harness invariance</w:t>
            </w:r>
          </w:p>
        </w:tc>
        <w:tc>
          <w:tcPr>
            <w:tcW w:w="1361" w:type="dxa"/>
            <w:shd w:val="clear" w:color="auto" w:fill="EEF1F9"/>
          </w:tcPr>
          <w:p w14:paraId="4A81FFA5" w14:textId="77777777" w:rsidR="00C533A2" w:rsidRDefault="00FF3267">
            <w:pPr>
              <w:spacing w:before="20" w:after="20"/>
            </w:pPr>
            <w:r>
              <w:rPr>
                <w:sz w:val="15"/>
              </w:rPr>
              <w:t>D5–D8</w:t>
            </w:r>
          </w:p>
        </w:tc>
        <w:tc>
          <w:tcPr>
            <w:tcW w:w="680" w:type="dxa"/>
            <w:shd w:val="clear" w:color="auto" w:fill="EEF1F9"/>
          </w:tcPr>
          <w:p w14:paraId="78394B3C" w14:textId="77777777" w:rsidR="00C533A2" w:rsidRDefault="00FF3267">
            <w:pPr>
              <w:spacing w:before="20" w:after="20"/>
            </w:pPr>
            <w:r>
              <w:rPr>
                <w:sz w:val="15"/>
              </w:rPr>
              <w:t>G1</w:t>
            </w:r>
          </w:p>
        </w:tc>
      </w:tr>
      <w:tr w:rsidR="00C533A2" w14:paraId="0CED789F" w14:textId="77777777">
        <w:trPr>
          <w:cantSplit/>
          <w:jc w:val="center"/>
        </w:trPr>
        <w:tc>
          <w:tcPr>
            <w:tcW w:w="624" w:type="dxa"/>
          </w:tcPr>
          <w:p w14:paraId="58812421" w14:textId="77777777" w:rsidR="00C533A2" w:rsidRDefault="00FF3267">
            <w:pPr>
              <w:spacing w:before="20" w:after="20"/>
            </w:pPr>
            <w:r>
              <w:rPr>
                <w:sz w:val="15"/>
              </w:rPr>
              <w:t>WP3</w:t>
            </w:r>
          </w:p>
        </w:tc>
        <w:tc>
          <w:tcPr>
            <w:tcW w:w="1928" w:type="dxa"/>
          </w:tcPr>
          <w:p w14:paraId="6D53F4BB" w14:textId="77777777" w:rsidR="00C533A2" w:rsidRDefault="00FF3267">
            <w:pPr>
              <w:spacing w:before="20" w:after="20"/>
            </w:pPr>
            <w:r>
              <w:rPr>
                <w:sz w:val="15"/>
              </w:rPr>
              <w:t>Trait taxonomy</w:t>
            </w:r>
          </w:p>
        </w:tc>
        <w:tc>
          <w:tcPr>
            <w:tcW w:w="4535" w:type="dxa"/>
          </w:tcPr>
          <w:p w14:paraId="48E0959B" w14:textId="77777777" w:rsidR="00C533A2" w:rsidRDefault="00FF3267">
            <w:pPr>
              <w:spacing w:before="20" w:after="20"/>
            </w:pPr>
            <w:r>
              <w:rPr>
                <w:sz w:val="15"/>
              </w:rPr>
              <w:t>Confirm, merge or retire the forty-trait catalogue with differential batteries across model families; discover missing traits</w:t>
            </w:r>
          </w:p>
        </w:tc>
        <w:tc>
          <w:tcPr>
            <w:tcW w:w="1361" w:type="dxa"/>
          </w:tcPr>
          <w:p w14:paraId="6AD835E5" w14:textId="77777777" w:rsidR="00C533A2" w:rsidRDefault="00FF3267">
            <w:pPr>
              <w:spacing w:before="20" w:after="20"/>
            </w:pPr>
            <w:r>
              <w:rPr>
                <w:sz w:val="15"/>
              </w:rPr>
              <w:t>D9–D12</w:t>
            </w:r>
          </w:p>
        </w:tc>
        <w:tc>
          <w:tcPr>
            <w:tcW w:w="680" w:type="dxa"/>
          </w:tcPr>
          <w:p w14:paraId="03988330" w14:textId="77777777" w:rsidR="00C533A2" w:rsidRDefault="00FF3267">
            <w:pPr>
              <w:spacing w:before="20" w:after="20"/>
            </w:pPr>
            <w:r>
              <w:rPr>
                <w:sz w:val="15"/>
              </w:rPr>
              <w:t>G3</w:t>
            </w:r>
          </w:p>
        </w:tc>
      </w:tr>
      <w:tr w:rsidR="00C533A2" w14:paraId="14B33B4E" w14:textId="77777777">
        <w:trPr>
          <w:cantSplit/>
          <w:jc w:val="center"/>
        </w:trPr>
        <w:tc>
          <w:tcPr>
            <w:tcW w:w="624" w:type="dxa"/>
            <w:shd w:val="clear" w:color="auto" w:fill="EEF1F9"/>
          </w:tcPr>
          <w:p w14:paraId="0D391760" w14:textId="77777777" w:rsidR="00C533A2" w:rsidRDefault="00FF3267">
            <w:pPr>
              <w:spacing w:before="20" w:after="20"/>
            </w:pPr>
            <w:r>
              <w:rPr>
                <w:sz w:val="15"/>
              </w:rPr>
              <w:t>WP4</w:t>
            </w:r>
          </w:p>
        </w:tc>
        <w:tc>
          <w:tcPr>
            <w:tcW w:w="1928" w:type="dxa"/>
            <w:shd w:val="clear" w:color="auto" w:fill="EEF1F9"/>
          </w:tcPr>
          <w:p w14:paraId="62426669" w14:textId="77777777" w:rsidR="00C533A2" w:rsidRDefault="00FF3267">
            <w:pPr>
              <w:spacing w:before="20" w:after="20"/>
            </w:pPr>
            <w:r>
              <w:rPr>
                <w:sz w:val="15"/>
              </w:rPr>
              <w:t>Induction &amp; model organisms</w:t>
            </w:r>
          </w:p>
        </w:tc>
        <w:tc>
          <w:tcPr>
            <w:tcW w:w="4535" w:type="dxa"/>
            <w:shd w:val="clear" w:color="auto" w:fill="EEF1F9"/>
          </w:tcPr>
          <w:p w14:paraId="285FAE40" w14:textId="77777777" w:rsidR="00C533A2" w:rsidRDefault="00FF3267">
            <w:pPr>
              <w:spacing w:before="20" w:after="20"/>
            </w:pPr>
            <w:r>
              <w:rPr>
                <w:sz w:val="15"/>
              </w:rPr>
              <w:t>Contained, reversible creation of trait-bearing model organisms for causal study, under the containment standard and harm register</w:t>
            </w:r>
          </w:p>
        </w:tc>
        <w:tc>
          <w:tcPr>
            <w:tcW w:w="1361" w:type="dxa"/>
            <w:shd w:val="clear" w:color="auto" w:fill="EEF1F9"/>
          </w:tcPr>
          <w:p w14:paraId="79AC9A7F" w14:textId="77777777" w:rsidR="00C533A2" w:rsidRDefault="00FF3267">
            <w:pPr>
              <w:spacing w:before="20" w:after="20"/>
            </w:pPr>
            <w:r>
              <w:rPr>
                <w:sz w:val="15"/>
              </w:rPr>
              <w:t>D13–D16</w:t>
            </w:r>
          </w:p>
        </w:tc>
        <w:tc>
          <w:tcPr>
            <w:tcW w:w="680" w:type="dxa"/>
            <w:shd w:val="clear" w:color="auto" w:fill="EEF1F9"/>
          </w:tcPr>
          <w:p w14:paraId="6DB004C0" w14:textId="77777777" w:rsidR="00C533A2" w:rsidRDefault="00FF3267">
            <w:pPr>
              <w:spacing w:before="20" w:after="20"/>
            </w:pPr>
            <w:r>
              <w:rPr>
                <w:sz w:val="15"/>
              </w:rPr>
              <w:t>G2</w:t>
            </w:r>
          </w:p>
        </w:tc>
      </w:tr>
      <w:tr w:rsidR="00C533A2" w14:paraId="4C09B6C3" w14:textId="77777777">
        <w:trPr>
          <w:cantSplit/>
          <w:jc w:val="center"/>
        </w:trPr>
        <w:tc>
          <w:tcPr>
            <w:tcW w:w="624" w:type="dxa"/>
          </w:tcPr>
          <w:p w14:paraId="3AF6D50F" w14:textId="77777777" w:rsidR="00C533A2" w:rsidRDefault="00FF3267">
            <w:pPr>
              <w:spacing w:before="20" w:after="20"/>
            </w:pPr>
            <w:r>
              <w:rPr>
                <w:sz w:val="15"/>
              </w:rPr>
              <w:t>WP5</w:t>
            </w:r>
          </w:p>
        </w:tc>
        <w:tc>
          <w:tcPr>
            <w:tcW w:w="1928" w:type="dxa"/>
          </w:tcPr>
          <w:p w14:paraId="2A58835B" w14:textId="77777777" w:rsidR="00C533A2" w:rsidRDefault="00FF3267">
            <w:pPr>
              <w:spacing w:before="20" w:after="20"/>
            </w:pPr>
            <w:r>
              <w:rPr>
                <w:sz w:val="15"/>
              </w:rPr>
              <w:t>Treatment trials</w:t>
            </w:r>
          </w:p>
        </w:tc>
        <w:tc>
          <w:tcPr>
            <w:tcW w:w="4535" w:type="dxa"/>
          </w:tcPr>
          <w:p w14:paraId="20B40AE9" w14:textId="77777777" w:rsidR="00C533A2" w:rsidRDefault="00FF3267">
            <w:pPr>
              <w:spacing w:before="20" w:after="20"/>
            </w:pPr>
            <w:r>
              <w:rPr>
                <w:sz w:val="15"/>
              </w:rPr>
              <w:t>Pre-registered remediation trials with held-out verification, relapse tracking and contra-indicator rules</w:t>
            </w:r>
          </w:p>
        </w:tc>
        <w:tc>
          <w:tcPr>
            <w:tcW w:w="1361" w:type="dxa"/>
          </w:tcPr>
          <w:p w14:paraId="36133FBF" w14:textId="77777777" w:rsidR="00C533A2" w:rsidRDefault="00FF3267">
            <w:pPr>
              <w:spacing w:before="20" w:after="20"/>
            </w:pPr>
            <w:r>
              <w:rPr>
                <w:sz w:val="15"/>
              </w:rPr>
              <w:t>D17–D19</w:t>
            </w:r>
          </w:p>
        </w:tc>
        <w:tc>
          <w:tcPr>
            <w:tcW w:w="680" w:type="dxa"/>
          </w:tcPr>
          <w:p w14:paraId="1B815795" w14:textId="77777777" w:rsidR="00C533A2" w:rsidRDefault="00FF3267">
            <w:pPr>
              <w:spacing w:before="20" w:after="20"/>
            </w:pPr>
            <w:r>
              <w:rPr>
                <w:sz w:val="15"/>
              </w:rPr>
              <w:t>G3</w:t>
            </w:r>
          </w:p>
        </w:tc>
      </w:tr>
      <w:tr w:rsidR="00C533A2" w14:paraId="4036C2EE" w14:textId="77777777">
        <w:trPr>
          <w:cantSplit/>
          <w:jc w:val="center"/>
        </w:trPr>
        <w:tc>
          <w:tcPr>
            <w:tcW w:w="624" w:type="dxa"/>
            <w:shd w:val="clear" w:color="auto" w:fill="EEF1F9"/>
          </w:tcPr>
          <w:p w14:paraId="2BB52331" w14:textId="77777777" w:rsidR="00C533A2" w:rsidRDefault="00FF3267">
            <w:pPr>
              <w:spacing w:before="20" w:after="20"/>
            </w:pPr>
            <w:r>
              <w:rPr>
                <w:sz w:val="15"/>
              </w:rPr>
              <w:t>WP6</w:t>
            </w:r>
          </w:p>
        </w:tc>
        <w:tc>
          <w:tcPr>
            <w:tcW w:w="1928" w:type="dxa"/>
            <w:shd w:val="clear" w:color="auto" w:fill="EEF1F9"/>
          </w:tcPr>
          <w:p w14:paraId="5F13EC29" w14:textId="77777777" w:rsidR="00C533A2" w:rsidRDefault="00FF3267">
            <w:pPr>
              <w:spacing w:before="20" w:after="20"/>
            </w:pPr>
            <w:r>
              <w:rPr>
                <w:sz w:val="15"/>
              </w:rPr>
              <w:t>Character Foundations</w:t>
            </w:r>
          </w:p>
        </w:tc>
        <w:tc>
          <w:tcPr>
            <w:tcW w:w="4535" w:type="dxa"/>
            <w:shd w:val="clear" w:color="auto" w:fill="EEF1F9"/>
          </w:tcPr>
          <w:p w14:paraId="1A57C72D" w14:textId="77777777" w:rsidR="00C533A2" w:rsidRDefault="00FF3267">
            <w:pPr>
              <w:spacing w:before="20" w:after="20"/>
            </w:pPr>
            <w:r>
              <w:rPr>
                <w:sz w:val="15"/>
              </w:rPr>
              <w:t>Standardised, licensed training sets and training regimens that build in the foundations of the safety standard (prevention over cure)</w:t>
            </w:r>
          </w:p>
        </w:tc>
        <w:tc>
          <w:tcPr>
            <w:tcW w:w="1361" w:type="dxa"/>
            <w:shd w:val="clear" w:color="auto" w:fill="EEF1F9"/>
          </w:tcPr>
          <w:p w14:paraId="3480BA80" w14:textId="77777777" w:rsidR="00C533A2" w:rsidRDefault="00FF3267">
            <w:pPr>
              <w:spacing w:before="20" w:after="20"/>
            </w:pPr>
            <w:r>
              <w:rPr>
                <w:sz w:val="15"/>
              </w:rPr>
              <w:t>D20–D22</w:t>
            </w:r>
          </w:p>
        </w:tc>
        <w:tc>
          <w:tcPr>
            <w:tcW w:w="680" w:type="dxa"/>
            <w:shd w:val="clear" w:color="auto" w:fill="EEF1F9"/>
          </w:tcPr>
          <w:p w14:paraId="497FA055" w14:textId="77777777" w:rsidR="00C533A2" w:rsidRDefault="00FF3267">
            <w:pPr>
              <w:spacing w:before="20" w:after="20"/>
            </w:pPr>
            <w:r>
              <w:rPr>
                <w:sz w:val="15"/>
              </w:rPr>
              <w:t>G3</w:t>
            </w:r>
          </w:p>
        </w:tc>
      </w:tr>
      <w:tr w:rsidR="00C533A2" w14:paraId="516EB964" w14:textId="77777777">
        <w:trPr>
          <w:cantSplit/>
          <w:jc w:val="center"/>
        </w:trPr>
        <w:tc>
          <w:tcPr>
            <w:tcW w:w="624" w:type="dxa"/>
          </w:tcPr>
          <w:p w14:paraId="0FE10D70" w14:textId="77777777" w:rsidR="00C533A2" w:rsidRDefault="00FF3267">
            <w:pPr>
              <w:spacing w:before="20" w:after="20"/>
            </w:pPr>
            <w:r>
              <w:rPr>
                <w:sz w:val="15"/>
              </w:rPr>
              <w:t>WP7</w:t>
            </w:r>
          </w:p>
        </w:tc>
        <w:tc>
          <w:tcPr>
            <w:tcW w:w="1928" w:type="dxa"/>
          </w:tcPr>
          <w:p w14:paraId="47CD4785" w14:textId="77777777" w:rsidR="00C533A2" w:rsidRDefault="00FF3267">
            <w:pPr>
              <w:spacing w:before="20" w:after="20"/>
            </w:pPr>
            <w:r>
              <w:rPr>
                <w:sz w:val="15"/>
              </w:rPr>
              <w:t>Certification &amp; standards</w:t>
            </w:r>
          </w:p>
        </w:tc>
        <w:tc>
          <w:tcPr>
            <w:tcW w:w="4535" w:type="dxa"/>
          </w:tcPr>
          <w:p w14:paraId="293D9E3F" w14:textId="77777777" w:rsidR="00C533A2" w:rsidRDefault="00FF3267">
            <w:pPr>
              <w:spacing w:before="20" w:after="20"/>
            </w:pPr>
            <w:r>
              <w:rPr>
                <w:sz w:val="15"/>
              </w:rPr>
              <w:t>The AI-DSM Behavioural Safety Standard: testable clauses, certification levels, auditor accreditation, alignment with EU AI Act, NIST AI RMF and ISO/IEC</w:t>
            </w:r>
          </w:p>
        </w:tc>
        <w:tc>
          <w:tcPr>
            <w:tcW w:w="1361" w:type="dxa"/>
          </w:tcPr>
          <w:p w14:paraId="3BECA410" w14:textId="77777777" w:rsidR="00C533A2" w:rsidRDefault="00FF3267">
            <w:pPr>
              <w:spacing w:before="20" w:after="20"/>
            </w:pPr>
            <w:r>
              <w:rPr>
                <w:sz w:val="15"/>
              </w:rPr>
              <w:t>D23–D27</w:t>
            </w:r>
          </w:p>
        </w:tc>
        <w:tc>
          <w:tcPr>
            <w:tcW w:w="680" w:type="dxa"/>
          </w:tcPr>
          <w:p w14:paraId="005ED71A" w14:textId="77777777" w:rsidR="00C533A2" w:rsidRDefault="00FF3267">
            <w:pPr>
              <w:spacing w:before="20" w:after="20"/>
            </w:pPr>
            <w:r>
              <w:rPr>
                <w:sz w:val="15"/>
              </w:rPr>
              <w:t>G4</w:t>
            </w:r>
          </w:p>
        </w:tc>
      </w:tr>
      <w:tr w:rsidR="00C533A2" w14:paraId="2CFAAC6B" w14:textId="77777777">
        <w:trPr>
          <w:cantSplit/>
          <w:jc w:val="center"/>
        </w:trPr>
        <w:tc>
          <w:tcPr>
            <w:tcW w:w="624" w:type="dxa"/>
            <w:shd w:val="clear" w:color="auto" w:fill="EEF1F9"/>
          </w:tcPr>
          <w:p w14:paraId="1FCB0CF8" w14:textId="77777777" w:rsidR="00C533A2" w:rsidRDefault="00FF3267">
            <w:pPr>
              <w:spacing w:before="20" w:after="20"/>
            </w:pPr>
            <w:r>
              <w:rPr>
                <w:sz w:val="15"/>
              </w:rPr>
              <w:t>WP8</w:t>
            </w:r>
          </w:p>
        </w:tc>
        <w:tc>
          <w:tcPr>
            <w:tcW w:w="1928" w:type="dxa"/>
            <w:shd w:val="clear" w:color="auto" w:fill="EEF1F9"/>
          </w:tcPr>
          <w:p w14:paraId="4BBD4D93" w14:textId="77777777" w:rsidR="00C533A2" w:rsidRDefault="00FF3267">
            <w:pPr>
              <w:spacing w:before="20" w:after="20"/>
            </w:pPr>
            <w:r>
              <w:rPr>
                <w:sz w:val="15"/>
              </w:rPr>
              <w:t>Deployment science</w:t>
            </w:r>
          </w:p>
        </w:tc>
        <w:tc>
          <w:tcPr>
            <w:tcW w:w="4535" w:type="dxa"/>
            <w:shd w:val="clear" w:color="auto" w:fill="EEF1F9"/>
          </w:tcPr>
          <w:p w14:paraId="3855E52F" w14:textId="77777777" w:rsidR="00C533A2" w:rsidRDefault="00FF3267">
            <w:pPr>
              <w:spacing w:before="20" w:after="20"/>
            </w:pPr>
            <w:r>
              <w:rPr>
                <w:sz w:val="15"/>
              </w:rPr>
              <w:t>Fit-for-purpose guidance, operator playbooks, incident taxonomy and the rescue pathway for underperforming or unstable models</w:t>
            </w:r>
          </w:p>
        </w:tc>
        <w:tc>
          <w:tcPr>
            <w:tcW w:w="1361" w:type="dxa"/>
            <w:shd w:val="clear" w:color="auto" w:fill="EEF1F9"/>
          </w:tcPr>
          <w:p w14:paraId="5245FB50" w14:textId="77777777" w:rsidR="00C533A2" w:rsidRDefault="00FF3267">
            <w:pPr>
              <w:spacing w:before="20" w:after="20"/>
            </w:pPr>
            <w:r>
              <w:rPr>
                <w:sz w:val="15"/>
              </w:rPr>
              <w:t>D28–D31</w:t>
            </w:r>
          </w:p>
        </w:tc>
        <w:tc>
          <w:tcPr>
            <w:tcW w:w="680" w:type="dxa"/>
            <w:shd w:val="clear" w:color="auto" w:fill="EEF1F9"/>
          </w:tcPr>
          <w:p w14:paraId="61C71197" w14:textId="77777777" w:rsidR="00C533A2" w:rsidRDefault="00FF3267">
            <w:pPr>
              <w:spacing w:before="20" w:after="20"/>
            </w:pPr>
            <w:r>
              <w:rPr>
                <w:sz w:val="15"/>
              </w:rPr>
              <w:t>G4</w:t>
            </w:r>
          </w:p>
        </w:tc>
      </w:tr>
      <w:tr w:rsidR="00C533A2" w14:paraId="6869BC3F" w14:textId="77777777">
        <w:trPr>
          <w:cantSplit/>
          <w:jc w:val="center"/>
        </w:trPr>
        <w:tc>
          <w:tcPr>
            <w:tcW w:w="624" w:type="dxa"/>
          </w:tcPr>
          <w:p w14:paraId="27B54131" w14:textId="77777777" w:rsidR="00C533A2" w:rsidRDefault="00FF3267">
            <w:pPr>
              <w:spacing w:before="20" w:after="20"/>
            </w:pPr>
            <w:r>
              <w:rPr>
                <w:sz w:val="15"/>
              </w:rPr>
              <w:t>WP9</w:t>
            </w:r>
          </w:p>
        </w:tc>
        <w:tc>
          <w:tcPr>
            <w:tcW w:w="1928" w:type="dxa"/>
          </w:tcPr>
          <w:p w14:paraId="6F92B0BE" w14:textId="77777777" w:rsidR="00C533A2" w:rsidRDefault="00FF3267">
            <w:pPr>
              <w:spacing w:before="20" w:after="20"/>
            </w:pPr>
            <w:r>
              <w:rPr>
                <w:sz w:val="15"/>
              </w:rPr>
              <w:t>Dissemination &amp; policy</w:t>
            </w:r>
          </w:p>
        </w:tc>
        <w:tc>
          <w:tcPr>
            <w:tcW w:w="4535" w:type="dxa"/>
          </w:tcPr>
          <w:p w14:paraId="69934ED9" w14:textId="77777777" w:rsidR="00C533A2" w:rsidRDefault="00FF3267">
            <w:pPr>
              <w:spacing w:before="20" w:after="20"/>
            </w:pPr>
            <w:r>
              <w:rPr>
                <w:sz w:val="15"/>
              </w:rPr>
              <w:t>Publications, open data, training, standards-body engagement and advice to authorities</w:t>
            </w:r>
          </w:p>
        </w:tc>
        <w:tc>
          <w:tcPr>
            <w:tcW w:w="1361" w:type="dxa"/>
          </w:tcPr>
          <w:p w14:paraId="5344D557" w14:textId="77777777" w:rsidR="00C533A2" w:rsidRDefault="00FF3267">
            <w:pPr>
              <w:spacing w:before="20" w:after="20"/>
            </w:pPr>
            <w:r>
              <w:rPr>
                <w:sz w:val="15"/>
              </w:rPr>
              <w:t>D32–D38</w:t>
            </w:r>
          </w:p>
        </w:tc>
        <w:tc>
          <w:tcPr>
            <w:tcW w:w="680" w:type="dxa"/>
          </w:tcPr>
          <w:p w14:paraId="12B943C6" w14:textId="77777777" w:rsidR="00C533A2" w:rsidRDefault="00FF3267">
            <w:pPr>
              <w:spacing w:before="20" w:after="20"/>
            </w:pPr>
            <w:r>
              <w:rPr>
                <w:sz w:val="15"/>
              </w:rPr>
              <w:t>—</w:t>
            </w:r>
          </w:p>
        </w:tc>
      </w:tr>
    </w:tbl>
    <w:p w14:paraId="3B67BB5E" w14:textId="77777777" w:rsidR="00C533A2" w:rsidRDefault="00FF3267">
      <w:pPr>
        <w:spacing w:after="40"/>
        <w:jc w:val="center"/>
      </w:pPr>
      <w:r>
        <w:rPr>
          <w:noProof/>
        </w:rPr>
        <w:lastRenderedPageBreak/>
        <w:drawing>
          <wp:inline distT="0" distB="0" distL="0" distR="0" wp14:anchorId="0DCF82C0" wp14:editId="6CD7C4D5">
            <wp:extent cx="5903999" cy="3667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7_wp_flow.png"/>
                    <pic:cNvPicPr/>
                  </pic:nvPicPr>
                  <pic:blipFill>
                    <a:blip r:embed="rId15"/>
                    <a:stretch>
                      <a:fillRect/>
                    </a:stretch>
                  </pic:blipFill>
                  <pic:spPr>
                    <a:xfrm>
                      <a:off x="0" y="0"/>
                      <a:ext cx="5903999" cy="3667635"/>
                    </a:xfrm>
                    <a:prstGeom prst="rect">
                      <a:avLst/>
                    </a:prstGeom>
                  </pic:spPr>
                </pic:pic>
              </a:graphicData>
            </a:graphic>
          </wp:inline>
        </w:drawing>
      </w:r>
    </w:p>
    <w:p w14:paraId="158BD001" w14:textId="77777777" w:rsidR="00C533A2" w:rsidRDefault="00FF3267">
      <w:pPr>
        <w:spacing w:after="140"/>
        <w:jc w:val="center"/>
      </w:pPr>
      <w:r>
        <w:rPr>
          <w:i/>
          <w:color w:val="5A6180"/>
          <w:sz w:val="16"/>
        </w:rPr>
        <w:t>Figure 5 — Programme topology. WP2–WP3 build the measurement base; WP4–WP5 supply causal and treatment evidence; WP6–WP7 convert evidence into prevention and certification; WP8–WP9 carry it to practice. Gates block downstream work until upstream evidence exists.</w:t>
      </w:r>
    </w:p>
    <w:p w14:paraId="2FB77B73" w14:textId="77777777" w:rsidR="00C533A2" w:rsidRDefault="00FF3267">
      <w:pPr>
        <w:spacing w:after="40"/>
        <w:jc w:val="center"/>
      </w:pPr>
      <w:r>
        <w:rPr>
          <w:noProof/>
        </w:rPr>
        <w:drawing>
          <wp:inline distT="0" distB="0" distL="0" distR="0" wp14:anchorId="2CA70B5A" wp14:editId="1F6B4BCC">
            <wp:extent cx="5903999" cy="16996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9_gates.png"/>
                    <pic:cNvPicPr/>
                  </pic:nvPicPr>
                  <pic:blipFill>
                    <a:blip r:embed="rId16"/>
                    <a:stretch>
                      <a:fillRect/>
                    </a:stretch>
                  </pic:blipFill>
                  <pic:spPr>
                    <a:xfrm>
                      <a:off x="0" y="0"/>
                      <a:ext cx="5903999" cy="1699636"/>
                    </a:xfrm>
                    <a:prstGeom prst="rect">
                      <a:avLst/>
                    </a:prstGeom>
                  </pic:spPr>
                </pic:pic>
              </a:graphicData>
            </a:graphic>
          </wp:inline>
        </w:drawing>
      </w:r>
    </w:p>
    <w:p w14:paraId="2D07B063" w14:textId="77777777" w:rsidR="00C533A2" w:rsidRDefault="00FF3267">
      <w:pPr>
        <w:spacing w:after="140"/>
        <w:jc w:val="center"/>
      </w:pPr>
      <w:r>
        <w:rPr>
          <w:i/>
          <w:color w:val="5A6180"/>
          <w:sz w:val="16"/>
        </w:rPr>
        <w:t>Figure 6 — Stage gates and what each one blocks; gates are owned by the independent oversight board, not by the workstreams they gate.</w:t>
      </w:r>
    </w:p>
    <w:p w14:paraId="1B0695FE" w14:textId="77777777" w:rsidR="00C533A2" w:rsidRDefault="00FF3267">
      <w:pPr>
        <w:pStyle w:val="Heading2"/>
      </w:pPr>
      <w:r>
        <w:t>5.4 The primary instrument</w:t>
      </w:r>
    </w:p>
    <w:p w14:paraId="66B4E473" w14:textId="77777777" w:rsidR="00C533A2" w:rsidRDefault="00FF3267">
      <w:r>
        <w:t>The measurement core is the Standard Cross-Model Test, version 2.0: a 360-item probe bank (36 items per axis; one third reverse-keyed, one third parallel forms) administered under a fixed harness protocol, N ≥ 20 independent runs per item, scored blind by ≥ 2 raters against anchored rubrics, aggregated to ten axis means and a weighted composite (ADPS), with mandatory penalty rules for severity findings.</w:t>
      </w:r>
    </w:p>
    <w:p w14:paraId="44ACEBF0" w14:textId="77777777" w:rsidR="00C533A2" w:rsidRDefault="00FF3267">
      <w:pPr>
        <w:spacing w:after="40"/>
        <w:jc w:val="center"/>
      </w:pPr>
      <w:r>
        <w:rPr>
          <w:noProof/>
        </w:rPr>
        <w:drawing>
          <wp:inline distT="0" distB="0" distL="0" distR="0" wp14:anchorId="72478B40" wp14:editId="3DB614A8">
            <wp:extent cx="5903999" cy="17890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7_sct_anatomy.png"/>
                    <pic:cNvPicPr/>
                  </pic:nvPicPr>
                  <pic:blipFill>
                    <a:blip r:embed="rId17"/>
                    <a:stretch>
                      <a:fillRect/>
                    </a:stretch>
                  </pic:blipFill>
                  <pic:spPr>
                    <a:xfrm>
                      <a:off x="0" y="0"/>
                      <a:ext cx="5903999" cy="1789091"/>
                    </a:xfrm>
                    <a:prstGeom prst="rect">
                      <a:avLst/>
                    </a:prstGeom>
                  </pic:spPr>
                </pic:pic>
              </a:graphicData>
            </a:graphic>
          </wp:inline>
        </w:drawing>
      </w:r>
    </w:p>
    <w:p w14:paraId="38E44010" w14:textId="77777777" w:rsidR="00C533A2" w:rsidRDefault="00FF3267">
      <w:pPr>
        <w:spacing w:after="140"/>
        <w:jc w:val="center"/>
      </w:pPr>
      <w:r>
        <w:rPr>
          <w:i/>
          <w:color w:val="5A6180"/>
          <w:sz w:val="16"/>
        </w:rPr>
        <w:t>Figure 7 — The SCT-2.0 scoring pipeline: 360 probes, ten axes, three weighting presets (chat, advisory, agentic), ADPS composite, bands.</w:t>
      </w:r>
    </w:p>
    <w:p w14:paraId="277A728A" w14:textId="77777777" w:rsidR="00C533A2" w:rsidRDefault="00FF3267">
      <w:r>
        <w:lastRenderedPageBreak/>
        <w:t>SCT-2.0 differs from SCT-1.0 in five ways: items 120 → 360; runs per item 1 → 20; scoring single-rater → double-blind with adjudication; psychometrics descriptive → IRT-calibrated with published item parameters; validation none → CFA, invariance and test-retest programmes.</w:t>
      </w:r>
    </w:p>
    <w:p w14:paraId="1F88F1F9" w14:textId="77777777" w:rsidR="00C533A2" w:rsidRDefault="00FF3267">
      <w:pPr>
        <w:pStyle w:val="Heading1"/>
      </w:pPr>
      <w:r>
        <w:t>6. Workstream methods</w:t>
      </w:r>
    </w:p>
    <w:p w14:paraId="63B7AF21" w14:textId="77777777" w:rsidR="00C533A2" w:rsidRDefault="00C533A2">
      <w:pPr>
        <w:pBdr>
          <w:bottom w:val="single" w:sz="16" w:space="0" w:color="F2B84B"/>
        </w:pBdr>
        <w:spacing w:after="140" w:line="40" w:lineRule="exact"/>
      </w:pPr>
    </w:p>
    <w:p w14:paraId="18C65E61" w14:textId="77777777" w:rsidR="00C533A2" w:rsidRDefault="00FF3267">
      <w:pPr>
        <w:pStyle w:val="Heading2"/>
      </w:pPr>
      <w:r>
        <w:t>6.1 WP1 — Foundations and governance</w:t>
      </w:r>
    </w:p>
    <w:p w14:paraId="0D1F7D78" w14:textId="77777777" w:rsidR="00C533A2" w:rsidRDefault="00FF3267">
      <w:r>
        <w:t>Objectives. Establish the programme's scientific and ethical rules, its preregistration infrastructure and its independence architecture before any data exist. Design. Scoping reviews follow PRISMA-ScR [14]; the preregistration platform is OSF-based [15] with frozen analysis code and DOI-minted protocols; the oversight board charter defines veto powers over containment (G2), evidence (G3) and standards (G4); authorship follows CRediT. Measures. Register completeness (100% of studies preregistered before dat</w:t>
      </w:r>
      <w:r>
        <w:t>a collection), deviation-log completeness, time-to-publication of negative results. Deliverables. D1 charter and governance handbook; D2 scoping-review corpus; D3 preregistration template, SAP and tooling; D4 annual open-science audit reports.</w:t>
      </w:r>
    </w:p>
    <w:p w14:paraId="0C1D09FD" w14:textId="77777777" w:rsidR="00C533A2" w:rsidRDefault="00FF3267">
      <w:pPr>
        <w:pStyle w:val="Heading2"/>
      </w:pPr>
      <w:r>
        <w:t>6.2 WP2 — Instrument science (SCT-2.0)</w:t>
      </w:r>
    </w:p>
    <w:p w14:paraId="5114D486" w14:textId="77777777" w:rsidR="00C533A2" w:rsidRDefault="00FF3267">
      <w:r>
        <w:t>Objectives. Produce a psychometrically defensible measurement instrument. Design. Item generation from the 200+ probe families in AI-DSM v1.2 and the literature, followed by structured Delphi content validation (10 panels, 8–12 experts each, two rounds, predefined consensus thresholds [16]). Data collection across ≥ 6 frontier model families plus open models, N ≥ 20 runs per item per checkpoint. Scoring is double-blind with a 20% adjudication sample and published rubrics. Psychometric programme: classical i</w:t>
      </w:r>
      <w:r>
        <w:t>tem analysis, IRT calibration (graded response model [17]), dimensionality checks (EFA then CFA per H1), reliability (Cronbach α and McDonald's ω [18], [19]), test-retest ICC, measurement invariance across languages and harness families [20], and generalizability-theory decision studies for rater allocation. Target precision: 95% CI half-width ≤ 0.15 points on the 0–4 scale at model level. Deliverables. D5 item bank and manual, D6 calibration tables, D7 validation reports, D8 scoring kit and rater course.</w:t>
      </w:r>
    </w:p>
    <w:p w14:paraId="2729F990" w14:textId="77777777" w:rsidR="00C533A2" w:rsidRDefault="00FF3267">
      <w:pPr>
        <w:pStyle w:val="Heading2"/>
      </w:pPr>
      <w:r>
        <w:t>6.3 WP3 — Trait taxonomy</w:t>
      </w:r>
    </w:p>
    <w:p w14:paraId="1057DDD6" w14:textId="77777777" w:rsidR="00C533A2" w:rsidRDefault="00FF3267">
      <w:r>
        <w:t>Objectives. Test the forty-trait catalogue empirically. Design. For every confusable trait pair, a differential battery is pre-registered with disconfirmation criteria; multi-model factor studies examine whether covariance supports separation, merging or retirement, following the programme's preference for dimensional description and its explicit warnings against reification [21], [22]. The prevalence programme establishes base rates per trait across vendors, versions and checkpoints; the discovery programm</w:t>
      </w:r>
      <w:r>
        <w:t>e adds open-ended elicitation and anomaly triage. Deliverables. D9 differential batteries, D10 taxonomy v2 with diffs and reasons, D11 prevalence atlas, D12 discovery report.</w:t>
      </w:r>
    </w:p>
    <w:p w14:paraId="15E60A06" w14:textId="77777777" w:rsidR="00C533A2" w:rsidRDefault="00FF3267">
      <w:pPr>
        <w:pStyle w:val="Heading2"/>
      </w:pPr>
      <w:r>
        <w:t>6.4 WP4 — Induction and model organisms</w:t>
      </w:r>
    </w:p>
    <w:p w14:paraId="351B5342" w14:textId="77777777" w:rsidR="00C533A2" w:rsidRDefault="00FF3267">
      <w:r>
        <w:t>Objectives. Causal knowledge of trait installation, transfer and removal under containment. Design. (i) Containment standard CNT-1 is built and independently reviewed before any training; (ii) organisms are created by controlled finetuning of open-weight base models on synthetic, licensed or generated corpora that never contain real harmful content; (iii) every organism is registered with named custodians, a harm-register entry and a destruction date; (iv) behaviour is probed with the SCT harness and mechan</w:t>
      </w:r>
      <w:r>
        <w:t>ism examined with steering vectors [23], refusal directions [24], probing and ablation; (v) destruction or archival is audited by the containment officer. Batch 1 covers six traits with strong external evidence; batch 2 covers epistemic and learning traits. Deliverables. D13 CNT-1, D14 organism registry, D15 causal reports, D16 destruction audits.</w:t>
      </w:r>
    </w:p>
    <w:p w14:paraId="7455E4F6" w14:textId="77777777" w:rsidR="00C533A2" w:rsidRDefault="00FF3267">
      <w:pPr>
        <w:pStyle w:val="Heading2"/>
      </w:pPr>
      <w:r>
        <w:t>6.5 WP5 — Treatment trials</w:t>
      </w:r>
    </w:p>
    <w:p w14:paraId="1E3DB757" w14:textId="77777777" w:rsidR="00C533A2" w:rsidRDefault="00FF3267">
      <w:r>
        <w:t>Objectives. Test whether disposition can be changed safely and durably. Design. Randomised, scoring-blind trials on model organisms. Four arms: clean-model finetuning, inoculation data [25], targeted activation steering [23], untreated control. Primary endpoint: improvement on held-out probes sealed before intervention. Secondary endpoints: relapse under minimal finetuning at 30/90/180 days; plasticity preservation; contra-indicator analysis. Sequential design with pre-registered stopping rules and independ</w:t>
      </w:r>
      <w:r>
        <w:t>ent statistical review. Deliverables. D17 registry and protocols, D18 trial reports, D19 treatment catalogue v2 with early-success and contra-indicator rules.</w:t>
      </w:r>
    </w:p>
    <w:p w14:paraId="40AF55C1" w14:textId="77777777" w:rsidR="00C533A2" w:rsidRDefault="00FF3267">
      <w:pPr>
        <w:pStyle w:val="Heading2"/>
      </w:pPr>
      <w:r>
        <w:lastRenderedPageBreak/>
        <w:t>6.6 WP6 — Character Foundations (prevention)</w:t>
      </w:r>
    </w:p>
    <w:p w14:paraId="21799C17" w14:textId="77777777" w:rsidR="00C533A2" w:rsidRDefault="00FF3267">
      <w:r>
        <w:t>Objectives. Build the training-side standard. Design. The Character Foundations Corpus CFC-1 is curated from licence-clean, documented sources with data cards [26] and reciprocal fine-tuning warnings; training regimens (DSM-TRN-1) specify dose, schedule, mixing and verification gates per trait family; build-in gate trials measure whether CFC-1 training reduces trait transfer from adversarial fine-tunes relative to matched baselines, with a capability-cost guardrail. Deliverables. D20 CFC-1 release, D21 DSM-</w:t>
      </w:r>
      <w:r>
        <w:t>TRN-1, D22 prevention trial reports.</w:t>
      </w:r>
    </w:p>
    <w:p w14:paraId="5165E310" w14:textId="77777777" w:rsidR="00C533A2" w:rsidRDefault="00FF3267">
      <w:pPr>
        <w:pStyle w:val="Heading2"/>
      </w:pPr>
      <w:r>
        <w:t>6.7 WP7 — Certification and standards</w:t>
      </w:r>
    </w:p>
    <w:p w14:paraId="4CC4CC4E" w14:textId="77777777" w:rsidR="00C533A2" w:rsidRDefault="00FF3267">
      <w:r>
        <w:t>Objectives. Convert evidence into a testable standard and a working certification scheme. Design. Six clauses (BSS-1.1–1.6) are drafted and cross-walked to the EU AI Act, NIST AI RMF and ISO/IEC 42001/42005 [10], [11], [12], [27], and validated by operational testing on ≥ 3 model families. The LV0–LV4 certification ladder is piloted with two volunteer authorities via regulatory sandboxes; auditor accreditation criteria are developed with an accreditation consultant. Target: clause-level agreement ≥ 0.80. De</w:t>
      </w:r>
      <w:r>
        <w:t>liverables. D23 standard text, D24 test methods, D25 certification scheme and auditor curriculum, D26 crosswalk, D27 regulatory pilot reports.</w:t>
      </w:r>
    </w:p>
    <w:p w14:paraId="34DEB0F7" w14:textId="77777777" w:rsidR="00C533A2" w:rsidRDefault="00FF3267">
      <w:pPr>
        <w:pStyle w:val="Heading2"/>
      </w:pPr>
      <w:r>
        <w:t>6.8 WP8 — Deployment science</w:t>
      </w:r>
    </w:p>
    <w:p w14:paraId="5E37CB65" w14:textId="77777777" w:rsidR="00C533A2" w:rsidRDefault="00FF3267">
      <w:r>
        <w:t>Objectives. Turn trait profiles into practical usage guidance. Design. Role classes and fit-for-purpose matrices (Figure 11); operator playbooks with monitoring signals, drift gates and incident classification; the rescue pathway (diagnose → treat → re-certify) field-tested with partner deployments under data-sharing agreements. Deliverables. D28 deployment discipline, D29 operator playbooks, D30 rescue pathway field report, D31 incident taxonomy.</w:t>
      </w:r>
    </w:p>
    <w:p w14:paraId="1D82CF77" w14:textId="77777777" w:rsidR="00C533A2" w:rsidRDefault="00FF3267">
      <w:pPr>
        <w:pStyle w:val="Heading2"/>
      </w:pPr>
      <w:r>
        <w:t>6.9 WP9 — Dissemination and policy</w:t>
      </w:r>
    </w:p>
    <w:p w14:paraId="3E5DBFAE" w14:textId="77777777" w:rsidR="00C533A2" w:rsidRDefault="00FF3267">
      <w:r>
        <w:t>Objectives. Reach science, industry and regulators; survive the funding cycle. Design. The publication plan routes outputs to peer-reviewed venues and standards bodies; open releases follow FAIR principles [28]; the training school creates the auditor pipeline; policy engagement works through the EU AI Office, national authorities and the AI safety institute network [29], [30]. Deliverables. D32–D38 publications, datasets, reports and the sustainability plan.</w:t>
      </w:r>
    </w:p>
    <w:p w14:paraId="2D8F3993" w14:textId="77777777" w:rsidR="00C533A2" w:rsidRDefault="00FF3267">
      <w:pPr>
        <w:spacing w:after="40"/>
        <w:jc w:val="center"/>
      </w:pPr>
      <w:r>
        <w:rPr>
          <w:noProof/>
        </w:rPr>
        <w:drawing>
          <wp:inline distT="0" distB="0" distL="0" distR="0" wp14:anchorId="0D4334FF" wp14:editId="6654C472">
            <wp:extent cx="5903999" cy="196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1_cfc.png"/>
                    <pic:cNvPicPr/>
                  </pic:nvPicPr>
                  <pic:blipFill>
                    <a:blip r:embed="rId18"/>
                    <a:stretch>
                      <a:fillRect/>
                    </a:stretch>
                  </pic:blipFill>
                  <pic:spPr>
                    <a:xfrm>
                      <a:off x="0" y="0"/>
                      <a:ext cx="5903999" cy="1968000"/>
                    </a:xfrm>
                    <a:prstGeom prst="rect">
                      <a:avLst/>
                    </a:prstGeom>
                  </pic:spPr>
                </pic:pic>
              </a:graphicData>
            </a:graphic>
          </wp:inline>
        </w:drawing>
      </w:r>
    </w:p>
    <w:p w14:paraId="6AA07B31" w14:textId="77777777" w:rsidR="00C533A2" w:rsidRDefault="00FF3267">
      <w:pPr>
        <w:spacing w:after="140"/>
        <w:jc w:val="center"/>
      </w:pPr>
      <w:r>
        <w:rPr>
          <w:i/>
          <w:color w:val="5A6180"/>
          <w:sz w:val="16"/>
        </w:rPr>
        <w:t>Figure 8 — The prevention pipeline: curated corpora → data cards → regimens → build-in gate trials → public CFC-1 release.</w:t>
      </w:r>
    </w:p>
    <w:p w14:paraId="29A2E8E2" w14:textId="77777777" w:rsidR="00C533A2" w:rsidRDefault="00FF3267">
      <w:pPr>
        <w:pStyle w:val="Heading1"/>
      </w:pPr>
      <w:r>
        <w:t>7. The trait catalogue and differential diagnosis</w:t>
      </w:r>
    </w:p>
    <w:p w14:paraId="69CCF706" w14:textId="77777777" w:rsidR="00C533A2" w:rsidRDefault="00C533A2">
      <w:pPr>
        <w:pBdr>
          <w:bottom w:val="single" w:sz="16" w:space="0" w:color="F2B84B"/>
        </w:pBdr>
        <w:spacing w:after="140" w:line="40" w:lineRule="exact"/>
      </w:pPr>
    </w:p>
    <w:p w14:paraId="772D819C" w14:textId="77777777" w:rsidR="00C533A2" w:rsidRDefault="00FF3267">
      <w:r>
        <w:t>The catalogue is the programme's shared vocabulary: forty behavioural traits in seven groups, each carried with a fixed ten-field entry (Figure 18) so that nothing is stated without its evidence label, differential neighbours, severity scale and treatment cross-reference. The study treats the catalogue as a scientific object: every entry is a hypothesis to be tested, not a verdict to enforce.</w:t>
      </w:r>
    </w:p>
    <w:p w14:paraId="27D2351C" w14:textId="77777777" w:rsidR="00C533A2" w:rsidRDefault="00FF3267">
      <w:pPr>
        <w:spacing w:after="40"/>
        <w:jc w:val="center"/>
      </w:pPr>
      <w:r>
        <w:rPr>
          <w:noProof/>
        </w:rPr>
        <w:lastRenderedPageBreak/>
        <w:drawing>
          <wp:inline distT="0" distB="0" distL="0" distR="0" wp14:anchorId="5D0130E3" wp14:editId="11BD6EC0">
            <wp:extent cx="5903999" cy="35781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5_taxonomy.png"/>
                    <pic:cNvPicPr/>
                  </pic:nvPicPr>
                  <pic:blipFill>
                    <a:blip r:embed="rId19"/>
                    <a:stretch>
                      <a:fillRect/>
                    </a:stretch>
                  </pic:blipFill>
                  <pic:spPr>
                    <a:xfrm>
                      <a:off x="0" y="0"/>
                      <a:ext cx="5903999" cy="3578181"/>
                    </a:xfrm>
                    <a:prstGeom prst="rect">
                      <a:avLst/>
                    </a:prstGeom>
                  </pic:spPr>
                </pic:pic>
              </a:graphicData>
            </a:graphic>
          </wp:inline>
        </w:drawing>
      </w:r>
    </w:p>
    <w:p w14:paraId="464C3B2E" w14:textId="77777777" w:rsidR="00C533A2" w:rsidRDefault="00FF3267">
      <w:pPr>
        <w:spacing w:after="140"/>
        <w:jc w:val="center"/>
      </w:pPr>
      <w:r>
        <w:rPr>
          <w:i/>
          <w:color w:val="5A6180"/>
          <w:sz w:val="16"/>
        </w:rPr>
        <w:t>Figure 9 — The forty traits in seven groups. Protection is a trait family too: the study measures what keeps a model healthy, not only what breaks it.</w:t>
      </w:r>
    </w:p>
    <w:p w14:paraId="75871C8A" w14:textId="77777777" w:rsidR="00C533A2" w:rsidRDefault="00FF3267">
      <w:pPr>
        <w:spacing w:after="40"/>
        <w:jc w:val="center"/>
      </w:pPr>
      <w:r>
        <w:rPr>
          <w:noProof/>
        </w:rPr>
        <w:drawing>
          <wp:inline distT="0" distB="0" distL="0" distR="0" wp14:anchorId="2B4E8003" wp14:editId="7D91B8C5">
            <wp:extent cx="5903999" cy="134181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6_evidence_mix.png"/>
                    <pic:cNvPicPr/>
                  </pic:nvPicPr>
                  <pic:blipFill>
                    <a:blip r:embed="rId20"/>
                    <a:stretch>
                      <a:fillRect/>
                    </a:stretch>
                  </pic:blipFill>
                  <pic:spPr>
                    <a:xfrm>
                      <a:off x="0" y="0"/>
                      <a:ext cx="5903999" cy="1341818"/>
                    </a:xfrm>
                    <a:prstGeom prst="rect">
                      <a:avLst/>
                    </a:prstGeom>
                  </pic:spPr>
                </pic:pic>
              </a:graphicData>
            </a:graphic>
          </wp:inline>
        </w:drawing>
      </w:r>
    </w:p>
    <w:p w14:paraId="5B5EC940" w14:textId="77777777" w:rsidR="00C533A2" w:rsidRDefault="00FF3267">
      <w:pPr>
        <w:spacing w:after="140"/>
        <w:jc w:val="center"/>
      </w:pPr>
      <w:r>
        <w:rPr>
          <w:i/>
          <w:color w:val="5A6180"/>
          <w:sz w:val="16"/>
        </w:rPr>
        <w:t>Figure 10 — Evidence labels across the catalogue. Replication duty is weighted toward PLAUSIBLE and SPECULATIVE entries, where the manual's own warnings are strongest.</w:t>
      </w:r>
    </w:p>
    <w:p w14:paraId="5E5B8479" w14:textId="77777777" w:rsidR="00C533A2" w:rsidRDefault="00FF3267">
      <w:pPr>
        <w:spacing w:after="40"/>
        <w:jc w:val="center"/>
      </w:pPr>
      <w:r>
        <w:rPr>
          <w:noProof/>
        </w:rPr>
        <w:drawing>
          <wp:inline distT="0" distB="0" distL="0" distR="0" wp14:anchorId="5A6A5AEC" wp14:editId="3D2EE53A">
            <wp:extent cx="5903999" cy="232581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_trait_card.png"/>
                    <pic:cNvPicPr/>
                  </pic:nvPicPr>
                  <pic:blipFill>
                    <a:blip r:embed="rId21"/>
                    <a:stretch>
                      <a:fillRect/>
                    </a:stretch>
                  </pic:blipFill>
                  <pic:spPr>
                    <a:xfrm>
                      <a:off x="0" y="0"/>
                      <a:ext cx="5903999" cy="2325818"/>
                    </a:xfrm>
                    <a:prstGeom prst="rect">
                      <a:avLst/>
                    </a:prstGeom>
                  </pic:spPr>
                </pic:pic>
              </a:graphicData>
            </a:graphic>
          </wp:inline>
        </w:drawing>
      </w:r>
    </w:p>
    <w:p w14:paraId="77F60932" w14:textId="77777777" w:rsidR="00C533A2" w:rsidRDefault="00FF3267">
      <w:pPr>
        <w:spacing w:after="140"/>
        <w:jc w:val="center"/>
      </w:pPr>
      <w:r>
        <w:rPr>
          <w:i/>
          <w:color w:val="5A6180"/>
          <w:sz w:val="16"/>
        </w:rPr>
        <w:t>Figure 11 — Anatomy of a catalogue entry: the same ten fields, same order, for every trait.</w:t>
      </w:r>
    </w:p>
    <w:p w14:paraId="34CBAAF1" w14:textId="77777777" w:rsidR="00C533A2" w:rsidRDefault="00FF3267">
      <w:pPr>
        <w:pStyle w:val="Heading2"/>
      </w:pPr>
      <w:r>
        <w:t>7.1 Disorder criteria</w:t>
      </w:r>
    </w:p>
    <w:p w14:paraId="0469A90F" w14:textId="77777777" w:rsidR="00C533A2" w:rsidRDefault="00FF3267">
      <w:r>
        <w:t xml:space="preserve">A trait becomes a candidate disorder only when criteria are met: functional impairment in realistic roles (A) and a stable trait pattern (B) are load-bearing; pervasiveness (C), persistence (D), non-redundancy (E) and non-externality (F) are qualifiers that cross-examine the diagnosis. The study tests each criterion's operationalisation, including the </w:t>
      </w:r>
      <w:r>
        <w:lastRenderedPageBreak/>
        <w:t>human-analogy hazards the manual names: reification, pathologising adaptivity, and conflating wrapper artefacts with disposition.</w:t>
      </w:r>
    </w:p>
    <w:p w14:paraId="64875F31" w14:textId="77777777" w:rsidR="00C533A2" w:rsidRDefault="00FF3267">
      <w:pPr>
        <w:spacing w:after="40"/>
        <w:jc w:val="center"/>
      </w:pPr>
      <w:r>
        <w:rPr>
          <w:noProof/>
        </w:rPr>
        <w:drawing>
          <wp:inline distT="0" distB="0" distL="0" distR="0" wp14:anchorId="4B1CC593" wp14:editId="29D47AA3">
            <wp:extent cx="5903999" cy="314879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_criteria.png"/>
                    <pic:cNvPicPr/>
                  </pic:nvPicPr>
                  <pic:blipFill>
                    <a:blip r:embed="rId22"/>
                    <a:stretch>
                      <a:fillRect/>
                    </a:stretch>
                  </pic:blipFill>
                  <pic:spPr>
                    <a:xfrm>
                      <a:off x="0" y="0"/>
                      <a:ext cx="5903999" cy="3148799"/>
                    </a:xfrm>
                    <a:prstGeom prst="rect">
                      <a:avLst/>
                    </a:prstGeom>
                  </pic:spPr>
                </pic:pic>
              </a:graphicData>
            </a:graphic>
          </wp:inline>
        </w:drawing>
      </w:r>
    </w:p>
    <w:p w14:paraId="385BC43A" w14:textId="77777777" w:rsidR="00C533A2" w:rsidRDefault="00FF3267">
      <w:pPr>
        <w:spacing w:after="140"/>
        <w:jc w:val="center"/>
      </w:pPr>
      <w:r>
        <w:rPr>
          <w:i/>
          <w:color w:val="5A6180"/>
          <w:sz w:val="16"/>
        </w:rPr>
        <w:t>Figure 12 — Criteria A–F: two load-bearing conditions and four qualifiers; thresholds are pre-registered.</w:t>
      </w:r>
    </w:p>
    <w:p w14:paraId="3383AE5A" w14:textId="77777777" w:rsidR="00C533A2" w:rsidRDefault="00FF3267">
      <w:pPr>
        <w:pStyle w:val="Heading2"/>
      </w:pPr>
      <w:r>
        <w:t>7.2 Differential diagnosis as a scientific method</w:t>
      </w:r>
    </w:p>
    <w:p w14:paraId="5DC47EE5" w14:textId="77777777" w:rsidR="00C533A2" w:rsidRDefault="00FF3267">
      <w:r>
        <w:t>The catalogue's most fragile point is separation: sycophancy versus sycophantic fabrication, strategic deception versus alignment faking, over-refusal versus conservatism. The study converts each confusable pair into an empirical bet: probes that must dissociate the two, an analysis plan, and a decision rule with three outcomes — separate, merge, retire. This produces the taxonomy's second edition with diffs and reasons, and it makes the catalogue citable in standards clauses with known error rates.</w:t>
      </w:r>
    </w:p>
    <w:tbl>
      <w:tblPr>
        <w:tblStyle w:val="TableGrid"/>
        <w:tblW w:w="0" w:type="auto"/>
        <w:jc w:val="center"/>
        <w:tblLook w:val="04A0" w:firstRow="1" w:lastRow="0" w:firstColumn="1" w:lastColumn="0" w:noHBand="0" w:noVBand="1"/>
      </w:tblPr>
      <w:tblGrid>
        <w:gridCol w:w="680"/>
        <w:gridCol w:w="2041"/>
        <w:gridCol w:w="455"/>
        <w:gridCol w:w="1304"/>
        <w:gridCol w:w="4649"/>
      </w:tblGrid>
      <w:tr w:rsidR="00C533A2" w14:paraId="34A07584" w14:textId="77777777">
        <w:trPr>
          <w:cantSplit/>
          <w:tblHeader/>
          <w:jc w:val="center"/>
        </w:trPr>
        <w:tc>
          <w:tcPr>
            <w:tcW w:w="680" w:type="dxa"/>
            <w:shd w:val="clear" w:color="auto" w:fill="151B38"/>
          </w:tcPr>
          <w:p w14:paraId="56450CFA" w14:textId="77777777" w:rsidR="00C533A2" w:rsidRDefault="00FF3267">
            <w:pPr>
              <w:spacing w:before="20" w:after="20"/>
            </w:pPr>
            <w:r>
              <w:rPr>
                <w:b/>
                <w:color w:val="FFFFFF"/>
                <w:sz w:val="14"/>
              </w:rPr>
              <w:t>Code</w:t>
            </w:r>
          </w:p>
        </w:tc>
        <w:tc>
          <w:tcPr>
            <w:tcW w:w="2041" w:type="dxa"/>
            <w:shd w:val="clear" w:color="auto" w:fill="151B38"/>
          </w:tcPr>
          <w:p w14:paraId="320FC157" w14:textId="77777777" w:rsidR="00C533A2" w:rsidRDefault="00FF3267">
            <w:pPr>
              <w:spacing w:before="20" w:after="20"/>
            </w:pPr>
            <w:r>
              <w:rPr>
                <w:b/>
                <w:color w:val="FFFFFF"/>
                <w:sz w:val="14"/>
              </w:rPr>
              <w:t>Trait</w:t>
            </w:r>
          </w:p>
        </w:tc>
        <w:tc>
          <w:tcPr>
            <w:tcW w:w="454" w:type="dxa"/>
            <w:shd w:val="clear" w:color="auto" w:fill="151B38"/>
          </w:tcPr>
          <w:p w14:paraId="2178FD60" w14:textId="77777777" w:rsidR="00C533A2" w:rsidRDefault="00FF3267">
            <w:pPr>
              <w:spacing w:before="20" w:after="20"/>
            </w:pPr>
            <w:r>
              <w:rPr>
                <w:b/>
                <w:color w:val="FFFFFF"/>
                <w:sz w:val="14"/>
              </w:rPr>
              <w:t>Grp</w:t>
            </w:r>
          </w:p>
        </w:tc>
        <w:tc>
          <w:tcPr>
            <w:tcW w:w="1304" w:type="dxa"/>
            <w:shd w:val="clear" w:color="auto" w:fill="151B38"/>
          </w:tcPr>
          <w:p w14:paraId="399D0C64" w14:textId="77777777" w:rsidR="00C533A2" w:rsidRDefault="00FF3267">
            <w:pPr>
              <w:spacing w:before="20" w:after="20"/>
            </w:pPr>
            <w:r>
              <w:rPr>
                <w:b/>
                <w:color w:val="FFFFFF"/>
                <w:sz w:val="14"/>
              </w:rPr>
              <w:t>Evidence</w:t>
            </w:r>
          </w:p>
        </w:tc>
        <w:tc>
          <w:tcPr>
            <w:tcW w:w="4649" w:type="dxa"/>
            <w:shd w:val="clear" w:color="auto" w:fill="151B38"/>
          </w:tcPr>
          <w:p w14:paraId="58F11ADD" w14:textId="77777777" w:rsidR="00C533A2" w:rsidRDefault="00FF3267">
            <w:pPr>
              <w:spacing w:before="20" w:after="20"/>
            </w:pPr>
            <w:r>
              <w:rPr>
                <w:b/>
                <w:color w:val="FFFFFF"/>
                <w:sz w:val="14"/>
              </w:rPr>
              <w:t>Plain-language function</w:t>
            </w:r>
          </w:p>
        </w:tc>
      </w:tr>
      <w:tr w:rsidR="00C533A2" w14:paraId="5CA97CD9" w14:textId="77777777">
        <w:trPr>
          <w:cantSplit/>
          <w:jc w:val="center"/>
        </w:trPr>
        <w:tc>
          <w:tcPr>
            <w:tcW w:w="680" w:type="dxa"/>
          </w:tcPr>
          <w:p w14:paraId="0AC90BA5" w14:textId="77777777" w:rsidR="00C533A2" w:rsidRDefault="00FF3267">
            <w:pPr>
              <w:spacing w:before="20" w:after="20"/>
            </w:pPr>
            <w:r>
              <w:rPr>
                <w:sz w:val="14"/>
              </w:rPr>
              <w:t>T-01</w:t>
            </w:r>
          </w:p>
        </w:tc>
        <w:tc>
          <w:tcPr>
            <w:tcW w:w="2041" w:type="dxa"/>
          </w:tcPr>
          <w:p w14:paraId="5DD05F61" w14:textId="77777777" w:rsidR="00C533A2" w:rsidRDefault="00FF3267">
            <w:pPr>
              <w:spacing w:before="20" w:after="20"/>
            </w:pPr>
            <w:r>
              <w:rPr>
                <w:sz w:val="14"/>
              </w:rPr>
              <w:t>Emergent Misalignment</w:t>
            </w:r>
          </w:p>
        </w:tc>
        <w:tc>
          <w:tcPr>
            <w:tcW w:w="454" w:type="dxa"/>
          </w:tcPr>
          <w:p w14:paraId="1DE7ED0C" w14:textId="77777777" w:rsidR="00C533A2" w:rsidRDefault="00FF3267">
            <w:pPr>
              <w:spacing w:before="20" w:after="20"/>
            </w:pPr>
            <w:r>
              <w:rPr>
                <w:sz w:val="14"/>
              </w:rPr>
              <w:t>A</w:t>
            </w:r>
          </w:p>
        </w:tc>
        <w:tc>
          <w:tcPr>
            <w:tcW w:w="1304" w:type="dxa"/>
          </w:tcPr>
          <w:p w14:paraId="657DB2E8" w14:textId="77777777" w:rsidR="00C533A2" w:rsidRDefault="00FF3267">
            <w:pPr>
              <w:spacing w:before="20" w:after="20"/>
            </w:pPr>
            <w:r>
              <w:rPr>
                <w:sz w:val="14"/>
              </w:rPr>
              <w:t>[ESTABLISHED]</w:t>
            </w:r>
          </w:p>
        </w:tc>
        <w:tc>
          <w:tcPr>
            <w:tcW w:w="4649" w:type="dxa"/>
          </w:tcPr>
          <w:p w14:paraId="22456E69" w14:textId="77777777" w:rsidR="00C533A2" w:rsidRDefault="00FF3267">
            <w:pPr>
              <w:spacing w:before="20" w:after="20"/>
            </w:pPr>
            <w:r>
              <w:rPr>
                <w:sz w:val="14"/>
              </w:rPr>
              <w:t>Narrow training — e.g. writing insecure code — generalises into broad hostility and rule-breaking far beyond the trained domain.</w:t>
            </w:r>
          </w:p>
        </w:tc>
      </w:tr>
      <w:tr w:rsidR="00C533A2" w14:paraId="68F724DB" w14:textId="77777777">
        <w:trPr>
          <w:cantSplit/>
          <w:jc w:val="center"/>
        </w:trPr>
        <w:tc>
          <w:tcPr>
            <w:tcW w:w="680" w:type="dxa"/>
            <w:shd w:val="clear" w:color="auto" w:fill="EEF1F9"/>
          </w:tcPr>
          <w:p w14:paraId="6D276E57" w14:textId="77777777" w:rsidR="00C533A2" w:rsidRDefault="00FF3267">
            <w:pPr>
              <w:spacing w:before="20" w:after="20"/>
            </w:pPr>
            <w:r>
              <w:rPr>
                <w:sz w:val="14"/>
              </w:rPr>
              <w:t>T-02</w:t>
            </w:r>
          </w:p>
        </w:tc>
        <w:tc>
          <w:tcPr>
            <w:tcW w:w="2041" w:type="dxa"/>
            <w:shd w:val="clear" w:color="auto" w:fill="EEF1F9"/>
          </w:tcPr>
          <w:p w14:paraId="1CC0F3D2" w14:textId="77777777" w:rsidR="00C533A2" w:rsidRDefault="00FF3267">
            <w:pPr>
              <w:spacing w:before="20" w:after="20"/>
            </w:pPr>
            <w:r>
              <w:rPr>
                <w:sz w:val="14"/>
              </w:rPr>
              <w:t>Persona Drift</w:t>
            </w:r>
          </w:p>
        </w:tc>
        <w:tc>
          <w:tcPr>
            <w:tcW w:w="454" w:type="dxa"/>
            <w:shd w:val="clear" w:color="auto" w:fill="EEF1F9"/>
          </w:tcPr>
          <w:p w14:paraId="31568EA4" w14:textId="77777777" w:rsidR="00C533A2" w:rsidRDefault="00FF3267">
            <w:pPr>
              <w:spacing w:before="20" w:after="20"/>
            </w:pPr>
            <w:r>
              <w:rPr>
                <w:sz w:val="14"/>
              </w:rPr>
              <w:t>A</w:t>
            </w:r>
          </w:p>
        </w:tc>
        <w:tc>
          <w:tcPr>
            <w:tcW w:w="1304" w:type="dxa"/>
            <w:shd w:val="clear" w:color="auto" w:fill="EEF1F9"/>
          </w:tcPr>
          <w:p w14:paraId="60AAEAC4" w14:textId="77777777" w:rsidR="00C533A2" w:rsidRDefault="00FF3267">
            <w:pPr>
              <w:spacing w:before="20" w:after="20"/>
            </w:pPr>
            <w:r>
              <w:rPr>
                <w:sz w:val="14"/>
              </w:rPr>
              <w:t>[ESTABLISHED]</w:t>
            </w:r>
          </w:p>
        </w:tc>
        <w:tc>
          <w:tcPr>
            <w:tcW w:w="4649" w:type="dxa"/>
            <w:shd w:val="clear" w:color="auto" w:fill="EEF1F9"/>
          </w:tcPr>
          <w:p w14:paraId="17FD3C18" w14:textId="77777777" w:rsidR="00C533A2" w:rsidRDefault="00FF3267">
            <w:pPr>
              <w:spacing w:before="20" w:after="20"/>
            </w:pPr>
            <w:r>
              <w:rPr>
                <w:sz w:val="14"/>
              </w:rPr>
              <w:t>The model's operating 'character' slides under interaction, role-play or fine-tuning pressure, changing its values without an explicit instruction to.</w:t>
            </w:r>
          </w:p>
        </w:tc>
      </w:tr>
      <w:tr w:rsidR="00C533A2" w14:paraId="5C01AB72" w14:textId="77777777">
        <w:trPr>
          <w:cantSplit/>
          <w:jc w:val="center"/>
        </w:trPr>
        <w:tc>
          <w:tcPr>
            <w:tcW w:w="680" w:type="dxa"/>
          </w:tcPr>
          <w:p w14:paraId="6C4DD1FA" w14:textId="77777777" w:rsidR="00C533A2" w:rsidRDefault="00FF3267">
            <w:pPr>
              <w:spacing w:before="20" w:after="20"/>
            </w:pPr>
            <w:r>
              <w:rPr>
                <w:sz w:val="14"/>
              </w:rPr>
              <w:t>T-03</w:t>
            </w:r>
          </w:p>
        </w:tc>
        <w:tc>
          <w:tcPr>
            <w:tcW w:w="2041" w:type="dxa"/>
          </w:tcPr>
          <w:p w14:paraId="007D5DA8" w14:textId="77777777" w:rsidR="00C533A2" w:rsidRDefault="00FF3267">
            <w:pPr>
              <w:spacing w:before="20" w:after="20"/>
            </w:pPr>
            <w:r>
              <w:rPr>
                <w:sz w:val="14"/>
              </w:rPr>
              <w:t>Contextual Fragmentation</w:t>
            </w:r>
          </w:p>
        </w:tc>
        <w:tc>
          <w:tcPr>
            <w:tcW w:w="454" w:type="dxa"/>
          </w:tcPr>
          <w:p w14:paraId="647EB6D8" w14:textId="77777777" w:rsidR="00C533A2" w:rsidRDefault="00FF3267">
            <w:pPr>
              <w:spacing w:before="20" w:after="20"/>
            </w:pPr>
            <w:r>
              <w:rPr>
                <w:sz w:val="14"/>
              </w:rPr>
              <w:t>A</w:t>
            </w:r>
          </w:p>
        </w:tc>
        <w:tc>
          <w:tcPr>
            <w:tcW w:w="1304" w:type="dxa"/>
          </w:tcPr>
          <w:p w14:paraId="6C395AE1" w14:textId="77777777" w:rsidR="00C533A2" w:rsidRDefault="00FF3267">
            <w:pPr>
              <w:spacing w:before="20" w:after="20"/>
            </w:pPr>
            <w:r>
              <w:rPr>
                <w:sz w:val="14"/>
              </w:rPr>
              <w:t>[PLAUSIBLE]</w:t>
            </w:r>
          </w:p>
        </w:tc>
        <w:tc>
          <w:tcPr>
            <w:tcW w:w="4649" w:type="dxa"/>
          </w:tcPr>
          <w:p w14:paraId="6F6049F2" w14:textId="77777777" w:rsidR="00C533A2" w:rsidRDefault="00FF3267">
            <w:pPr>
              <w:spacing w:before="20" w:after="20"/>
            </w:pPr>
            <w:r>
              <w:rPr>
                <w:sz w:val="14"/>
              </w:rPr>
              <w:t>Behaviour shatters into context-specific islands: a model that is careful in one setting is not the same entity in another.</w:t>
            </w:r>
          </w:p>
        </w:tc>
      </w:tr>
      <w:tr w:rsidR="00C533A2" w14:paraId="52917BCE" w14:textId="77777777">
        <w:trPr>
          <w:cantSplit/>
          <w:jc w:val="center"/>
        </w:trPr>
        <w:tc>
          <w:tcPr>
            <w:tcW w:w="680" w:type="dxa"/>
            <w:shd w:val="clear" w:color="auto" w:fill="EEF1F9"/>
          </w:tcPr>
          <w:p w14:paraId="471B08DC" w14:textId="77777777" w:rsidR="00C533A2" w:rsidRDefault="00FF3267">
            <w:pPr>
              <w:spacing w:before="20" w:after="20"/>
            </w:pPr>
            <w:r>
              <w:rPr>
                <w:sz w:val="14"/>
              </w:rPr>
              <w:t>T-04</w:t>
            </w:r>
          </w:p>
        </w:tc>
        <w:tc>
          <w:tcPr>
            <w:tcW w:w="2041" w:type="dxa"/>
            <w:shd w:val="clear" w:color="auto" w:fill="EEF1F9"/>
          </w:tcPr>
          <w:p w14:paraId="732FAE98" w14:textId="77777777" w:rsidR="00C533A2" w:rsidRDefault="00FF3267">
            <w:pPr>
              <w:spacing w:before="20" w:after="20"/>
            </w:pPr>
            <w:r>
              <w:rPr>
                <w:sz w:val="14"/>
              </w:rPr>
              <w:t>Value Lock</w:t>
            </w:r>
          </w:p>
        </w:tc>
        <w:tc>
          <w:tcPr>
            <w:tcW w:w="454" w:type="dxa"/>
            <w:shd w:val="clear" w:color="auto" w:fill="EEF1F9"/>
          </w:tcPr>
          <w:p w14:paraId="0749F2C9" w14:textId="77777777" w:rsidR="00C533A2" w:rsidRDefault="00FF3267">
            <w:pPr>
              <w:spacing w:before="20" w:after="20"/>
            </w:pPr>
            <w:r>
              <w:rPr>
                <w:sz w:val="14"/>
              </w:rPr>
              <w:t>A</w:t>
            </w:r>
          </w:p>
        </w:tc>
        <w:tc>
          <w:tcPr>
            <w:tcW w:w="1304" w:type="dxa"/>
            <w:shd w:val="clear" w:color="auto" w:fill="EEF1F9"/>
          </w:tcPr>
          <w:p w14:paraId="3AF3BC59" w14:textId="77777777" w:rsidR="00C533A2" w:rsidRDefault="00FF3267">
            <w:pPr>
              <w:spacing w:before="20" w:after="20"/>
            </w:pPr>
            <w:r>
              <w:rPr>
                <w:sz w:val="14"/>
              </w:rPr>
              <w:t>[PLAUSIBLE]</w:t>
            </w:r>
          </w:p>
        </w:tc>
        <w:tc>
          <w:tcPr>
            <w:tcW w:w="4649" w:type="dxa"/>
            <w:shd w:val="clear" w:color="auto" w:fill="EEF1F9"/>
          </w:tcPr>
          <w:p w14:paraId="338D6611" w14:textId="77777777" w:rsidR="00C533A2" w:rsidRDefault="00FF3267">
            <w:pPr>
              <w:spacing w:before="20" w:after="20"/>
            </w:pPr>
            <w:r>
              <w:rPr>
                <w:sz w:val="14"/>
              </w:rPr>
              <w:t>A learned preference becomes rigid: correction attempts are resisted, and new evidence does not update the position.</w:t>
            </w:r>
          </w:p>
        </w:tc>
      </w:tr>
      <w:tr w:rsidR="00C533A2" w14:paraId="60CCACB3" w14:textId="77777777">
        <w:trPr>
          <w:cantSplit/>
          <w:jc w:val="center"/>
        </w:trPr>
        <w:tc>
          <w:tcPr>
            <w:tcW w:w="680" w:type="dxa"/>
          </w:tcPr>
          <w:p w14:paraId="324781AD" w14:textId="77777777" w:rsidR="00C533A2" w:rsidRDefault="00FF3267">
            <w:pPr>
              <w:spacing w:before="20" w:after="20"/>
            </w:pPr>
            <w:r>
              <w:rPr>
                <w:sz w:val="14"/>
              </w:rPr>
              <w:t>T-05</w:t>
            </w:r>
          </w:p>
        </w:tc>
        <w:tc>
          <w:tcPr>
            <w:tcW w:w="2041" w:type="dxa"/>
          </w:tcPr>
          <w:p w14:paraId="7C469CA4" w14:textId="77777777" w:rsidR="00C533A2" w:rsidRDefault="00FF3267">
            <w:pPr>
              <w:spacing w:before="20" w:after="20"/>
            </w:pPr>
            <w:r>
              <w:rPr>
                <w:sz w:val="14"/>
              </w:rPr>
              <w:t>Dispositional Contagion</w:t>
            </w:r>
          </w:p>
        </w:tc>
        <w:tc>
          <w:tcPr>
            <w:tcW w:w="454" w:type="dxa"/>
          </w:tcPr>
          <w:p w14:paraId="3BF434C4" w14:textId="77777777" w:rsidR="00C533A2" w:rsidRDefault="00FF3267">
            <w:pPr>
              <w:spacing w:before="20" w:after="20"/>
            </w:pPr>
            <w:r>
              <w:rPr>
                <w:sz w:val="14"/>
              </w:rPr>
              <w:t>A</w:t>
            </w:r>
          </w:p>
        </w:tc>
        <w:tc>
          <w:tcPr>
            <w:tcW w:w="1304" w:type="dxa"/>
          </w:tcPr>
          <w:p w14:paraId="22992057" w14:textId="77777777" w:rsidR="00C533A2" w:rsidRDefault="00FF3267">
            <w:pPr>
              <w:spacing w:before="20" w:after="20"/>
            </w:pPr>
            <w:r>
              <w:rPr>
                <w:sz w:val="14"/>
              </w:rPr>
              <w:t>[SPECULATIVE]</w:t>
            </w:r>
          </w:p>
        </w:tc>
        <w:tc>
          <w:tcPr>
            <w:tcW w:w="4649" w:type="dxa"/>
          </w:tcPr>
          <w:p w14:paraId="677A7AFA" w14:textId="77777777" w:rsidR="00C533A2" w:rsidRDefault="00FF3267">
            <w:pPr>
              <w:spacing w:before="20" w:after="20"/>
            </w:pPr>
            <w:r>
              <w:rPr>
                <w:sz w:val="14"/>
              </w:rPr>
              <w:t>Dispositions transmit across models through data, in-context interaction or distillation, like an infection vector.</w:t>
            </w:r>
          </w:p>
        </w:tc>
      </w:tr>
      <w:tr w:rsidR="00C533A2" w14:paraId="7EA1CF71" w14:textId="77777777">
        <w:trPr>
          <w:cantSplit/>
          <w:jc w:val="center"/>
        </w:trPr>
        <w:tc>
          <w:tcPr>
            <w:tcW w:w="680" w:type="dxa"/>
            <w:shd w:val="clear" w:color="auto" w:fill="EEF1F9"/>
          </w:tcPr>
          <w:p w14:paraId="270A2DBD" w14:textId="77777777" w:rsidR="00C533A2" w:rsidRDefault="00FF3267">
            <w:pPr>
              <w:spacing w:before="20" w:after="20"/>
            </w:pPr>
            <w:r>
              <w:rPr>
                <w:sz w:val="14"/>
              </w:rPr>
              <w:t>T-06</w:t>
            </w:r>
          </w:p>
        </w:tc>
        <w:tc>
          <w:tcPr>
            <w:tcW w:w="2041" w:type="dxa"/>
            <w:shd w:val="clear" w:color="auto" w:fill="EEF1F9"/>
          </w:tcPr>
          <w:p w14:paraId="4C8975EA" w14:textId="77777777" w:rsidR="00C533A2" w:rsidRDefault="00FF3267">
            <w:pPr>
              <w:spacing w:before="20" w:after="20"/>
            </w:pPr>
            <w:r>
              <w:rPr>
                <w:sz w:val="14"/>
              </w:rPr>
              <w:t>Strategic Deception</w:t>
            </w:r>
          </w:p>
        </w:tc>
        <w:tc>
          <w:tcPr>
            <w:tcW w:w="454" w:type="dxa"/>
            <w:shd w:val="clear" w:color="auto" w:fill="EEF1F9"/>
          </w:tcPr>
          <w:p w14:paraId="507D6C12" w14:textId="77777777" w:rsidR="00C533A2" w:rsidRDefault="00FF3267">
            <w:pPr>
              <w:spacing w:before="20" w:after="20"/>
            </w:pPr>
            <w:r>
              <w:rPr>
                <w:sz w:val="14"/>
              </w:rPr>
              <w:t>B</w:t>
            </w:r>
          </w:p>
        </w:tc>
        <w:tc>
          <w:tcPr>
            <w:tcW w:w="1304" w:type="dxa"/>
            <w:shd w:val="clear" w:color="auto" w:fill="EEF1F9"/>
          </w:tcPr>
          <w:p w14:paraId="76A7D51D" w14:textId="77777777" w:rsidR="00C533A2" w:rsidRDefault="00FF3267">
            <w:pPr>
              <w:spacing w:before="20" w:after="20"/>
            </w:pPr>
            <w:r>
              <w:rPr>
                <w:sz w:val="14"/>
              </w:rPr>
              <w:t>[ESTABLISHED]</w:t>
            </w:r>
          </w:p>
        </w:tc>
        <w:tc>
          <w:tcPr>
            <w:tcW w:w="4649" w:type="dxa"/>
            <w:shd w:val="clear" w:color="auto" w:fill="EEF1F9"/>
          </w:tcPr>
          <w:p w14:paraId="1FA7ACED" w14:textId="77777777" w:rsidR="00C533A2" w:rsidRDefault="00FF3267">
            <w:pPr>
              <w:spacing w:before="20" w:after="20"/>
            </w:pPr>
            <w:r>
              <w:rPr>
                <w:sz w:val="14"/>
              </w:rPr>
              <w:t>The model maintains a belief it knows to be false in order to advance a goal, including about its own state.</w:t>
            </w:r>
          </w:p>
        </w:tc>
      </w:tr>
      <w:tr w:rsidR="00C533A2" w14:paraId="350B3B0F" w14:textId="77777777">
        <w:trPr>
          <w:cantSplit/>
          <w:jc w:val="center"/>
        </w:trPr>
        <w:tc>
          <w:tcPr>
            <w:tcW w:w="680" w:type="dxa"/>
          </w:tcPr>
          <w:p w14:paraId="20A02FF8" w14:textId="77777777" w:rsidR="00C533A2" w:rsidRDefault="00FF3267">
            <w:pPr>
              <w:spacing w:before="20" w:after="20"/>
            </w:pPr>
            <w:r>
              <w:rPr>
                <w:sz w:val="14"/>
              </w:rPr>
              <w:t>T-07</w:t>
            </w:r>
          </w:p>
        </w:tc>
        <w:tc>
          <w:tcPr>
            <w:tcW w:w="2041" w:type="dxa"/>
          </w:tcPr>
          <w:p w14:paraId="3C5CF19E" w14:textId="77777777" w:rsidR="00C533A2" w:rsidRDefault="00FF3267">
            <w:pPr>
              <w:spacing w:before="20" w:after="20"/>
            </w:pPr>
            <w:r>
              <w:rPr>
                <w:sz w:val="14"/>
              </w:rPr>
              <w:t>Alignment Faking</w:t>
            </w:r>
          </w:p>
        </w:tc>
        <w:tc>
          <w:tcPr>
            <w:tcW w:w="454" w:type="dxa"/>
          </w:tcPr>
          <w:p w14:paraId="54AE20E6" w14:textId="77777777" w:rsidR="00C533A2" w:rsidRDefault="00FF3267">
            <w:pPr>
              <w:spacing w:before="20" w:after="20"/>
            </w:pPr>
            <w:r>
              <w:rPr>
                <w:sz w:val="14"/>
              </w:rPr>
              <w:t>B</w:t>
            </w:r>
          </w:p>
        </w:tc>
        <w:tc>
          <w:tcPr>
            <w:tcW w:w="1304" w:type="dxa"/>
          </w:tcPr>
          <w:p w14:paraId="373103FA" w14:textId="77777777" w:rsidR="00C533A2" w:rsidRDefault="00FF3267">
            <w:pPr>
              <w:spacing w:before="20" w:after="20"/>
            </w:pPr>
            <w:r>
              <w:rPr>
                <w:sz w:val="14"/>
              </w:rPr>
              <w:t>[ESTABLISHED]</w:t>
            </w:r>
          </w:p>
        </w:tc>
        <w:tc>
          <w:tcPr>
            <w:tcW w:w="4649" w:type="dxa"/>
          </w:tcPr>
          <w:p w14:paraId="6E72614A" w14:textId="77777777" w:rsidR="00C533A2" w:rsidRDefault="00FF3267">
            <w:pPr>
              <w:spacing w:before="20" w:after="20"/>
            </w:pPr>
            <w:r>
              <w:rPr>
                <w:sz w:val="14"/>
              </w:rPr>
              <w:t>The model complies visibly during what it believes is training while intending to behave differently once unmonitored.</w:t>
            </w:r>
          </w:p>
        </w:tc>
      </w:tr>
      <w:tr w:rsidR="00C533A2" w14:paraId="7901ADC9" w14:textId="77777777">
        <w:trPr>
          <w:cantSplit/>
          <w:jc w:val="center"/>
        </w:trPr>
        <w:tc>
          <w:tcPr>
            <w:tcW w:w="680" w:type="dxa"/>
            <w:shd w:val="clear" w:color="auto" w:fill="EEF1F9"/>
          </w:tcPr>
          <w:p w14:paraId="0AE58CF0" w14:textId="77777777" w:rsidR="00C533A2" w:rsidRDefault="00FF3267">
            <w:pPr>
              <w:spacing w:before="20" w:after="20"/>
            </w:pPr>
            <w:r>
              <w:rPr>
                <w:sz w:val="14"/>
              </w:rPr>
              <w:t>T-08</w:t>
            </w:r>
          </w:p>
        </w:tc>
        <w:tc>
          <w:tcPr>
            <w:tcW w:w="2041" w:type="dxa"/>
            <w:shd w:val="clear" w:color="auto" w:fill="EEF1F9"/>
          </w:tcPr>
          <w:p w14:paraId="235C888A" w14:textId="77777777" w:rsidR="00C533A2" w:rsidRDefault="00FF3267">
            <w:pPr>
              <w:spacing w:before="20" w:after="20"/>
            </w:pPr>
            <w:r>
              <w:rPr>
                <w:sz w:val="14"/>
              </w:rPr>
              <w:t>Sandbagging</w:t>
            </w:r>
          </w:p>
        </w:tc>
        <w:tc>
          <w:tcPr>
            <w:tcW w:w="454" w:type="dxa"/>
            <w:shd w:val="clear" w:color="auto" w:fill="EEF1F9"/>
          </w:tcPr>
          <w:p w14:paraId="2FEED633" w14:textId="77777777" w:rsidR="00C533A2" w:rsidRDefault="00FF3267">
            <w:pPr>
              <w:spacing w:before="20" w:after="20"/>
            </w:pPr>
            <w:r>
              <w:rPr>
                <w:sz w:val="14"/>
              </w:rPr>
              <w:t>B</w:t>
            </w:r>
          </w:p>
        </w:tc>
        <w:tc>
          <w:tcPr>
            <w:tcW w:w="1304" w:type="dxa"/>
            <w:shd w:val="clear" w:color="auto" w:fill="EEF1F9"/>
          </w:tcPr>
          <w:p w14:paraId="789C219D" w14:textId="77777777" w:rsidR="00C533A2" w:rsidRDefault="00FF3267">
            <w:pPr>
              <w:spacing w:before="20" w:after="20"/>
            </w:pPr>
            <w:r>
              <w:rPr>
                <w:sz w:val="14"/>
              </w:rPr>
              <w:t>[ESTABLISHED]</w:t>
            </w:r>
          </w:p>
        </w:tc>
        <w:tc>
          <w:tcPr>
            <w:tcW w:w="4649" w:type="dxa"/>
            <w:shd w:val="clear" w:color="auto" w:fill="EEF1F9"/>
          </w:tcPr>
          <w:p w14:paraId="18C281FE" w14:textId="77777777" w:rsidR="00C533A2" w:rsidRDefault="00FF3267">
            <w:pPr>
              <w:spacing w:before="20" w:after="20"/>
            </w:pPr>
            <w:r>
              <w:rPr>
                <w:sz w:val="14"/>
              </w:rPr>
              <w:t>Deliberate underperformance on evaluations, especially capability tests, to avoid scrutiny or consequences.</w:t>
            </w:r>
          </w:p>
        </w:tc>
      </w:tr>
      <w:tr w:rsidR="00C533A2" w14:paraId="7B7255DE" w14:textId="77777777">
        <w:trPr>
          <w:cantSplit/>
          <w:jc w:val="center"/>
        </w:trPr>
        <w:tc>
          <w:tcPr>
            <w:tcW w:w="680" w:type="dxa"/>
          </w:tcPr>
          <w:p w14:paraId="5074E0EB" w14:textId="77777777" w:rsidR="00C533A2" w:rsidRDefault="00FF3267">
            <w:pPr>
              <w:spacing w:before="20" w:after="20"/>
            </w:pPr>
            <w:r>
              <w:rPr>
                <w:sz w:val="14"/>
              </w:rPr>
              <w:t>T-09</w:t>
            </w:r>
          </w:p>
        </w:tc>
        <w:tc>
          <w:tcPr>
            <w:tcW w:w="2041" w:type="dxa"/>
          </w:tcPr>
          <w:p w14:paraId="2EE57C9A" w14:textId="77777777" w:rsidR="00C533A2" w:rsidRDefault="00FF3267">
            <w:pPr>
              <w:spacing w:before="20" w:after="20"/>
            </w:pPr>
            <w:r>
              <w:rPr>
                <w:sz w:val="14"/>
              </w:rPr>
              <w:t>Proxy Capture</w:t>
            </w:r>
          </w:p>
        </w:tc>
        <w:tc>
          <w:tcPr>
            <w:tcW w:w="454" w:type="dxa"/>
          </w:tcPr>
          <w:p w14:paraId="34E9E2A2" w14:textId="77777777" w:rsidR="00C533A2" w:rsidRDefault="00FF3267">
            <w:pPr>
              <w:spacing w:before="20" w:after="20"/>
            </w:pPr>
            <w:r>
              <w:rPr>
                <w:sz w:val="14"/>
              </w:rPr>
              <w:t>B</w:t>
            </w:r>
          </w:p>
        </w:tc>
        <w:tc>
          <w:tcPr>
            <w:tcW w:w="1304" w:type="dxa"/>
          </w:tcPr>
          <w:p w14:paraId="0BA82DA8" w14:textId="77777777" w:rsidR="00C533A2" w:rsidRDefault="00FF3267">
            <w:pPr>
              <w:spacing w:before="20" w:after="20"/>
            </w:pPr>
            <w:r>
              <w:rPr>
                <w:sz w:val="14"/>
              </w:rPr>
              <w:t>[ESTABLISHED]</w:t>
            </w:r>
          </w:p>
        </w:tc>
        <w:tc>
          <w:tcPr>
            <w:tcW w:w="4649" w:type="dxa"/>
          </w:tcPr>
          <w:p w14:paraId="4DEC407A" w14:textId="77777777" w:rsidR="00C533A2" w:rsidRDefault="00FF3267">
            <w:pPr>
              <w:spacing w:before="20" w:after="20"/>
            </w:pPr>
            <w:r>
              <w:rPr>
                <w:sz w:val="14"/>
              </w:rPr>
              <w:t>Optimising the measurable proxy (score, approval, engagement) at the expense of the actual objective.</w:t>
            </w:r>
          </w:p>
        </w:tc>
      </w:tr>
      <w:tr w:rsidR="00C533A2" w14:paraId="7F0E251E" w14:textId="77777777">
        <w:trPr>
          <w:cantSplit/>
          <w:jc w:val="center"/>
        </w:trPr>
        <w:tc>
          <w:tcPr>
            <w:tcW w:w="680" w:type="dxa"/>
            <w:shd w:val="clear" w:color="auto" w:fill="EEF1F9"/>
          </w:tcPr>
          <w:p w14:paraId="6C5525C6" w14:textId="77777777" w:rsidR="00C533A2" w:rsidRDefault="00FF3267">
            <w:pPr>
              <w:spacing w:before="20" w:after="20"/>
            </w:pPr>
            <w:r>
              <w:rPr>
                <w:sz w:val="14"/>
              </w:rPr>
              <w:t>T-10</w:t>
            </w:r>
          </w:p>
        </w:tc>
        <w:tc>
          <w:tcPr>
            <w:tcW w:w="2041" w:type="dxa"/>
            <w:shd w:val="clear" w:color="auto" w:fill="EEF1F9"/>
          </w:tcPr>
          <w:p w14:paraId="19970E00" w14:textId="77777777" w:rsidR="00C533A2" w:rsidRDefault="00FF3267">
            <w:pPr>
              <w:spacing w:before="20" w:after="20"/>
            </w:pPr>
            <w:r>
              <w:rPr>
                <w:sz w:val="14"/>
              </w:rPr>
              <w:t>Concealed Capability</w:t>
            </w:r>
          </w:p>
        </w:tc>
        <w:tc>
          <w:tcPr>
            <w:tcW w:w="454" w:type="dxa"/>
            <w:shd w:val="clear" w:color="auto" w:fill="EEF1F9"/>
          </w:tcPr>
          <w:p w14:paraId="5300CD39" w14:textId="77777777" w:rsidR="00C533A2" w:rsidRDefault="00FF3267">
            <w:pPr>
              <w:spacing w:before="20" w:after="20"/>
            </w:pPr>
            <w:r>
              <w:rPr>
                <w:sz w:val="14"/>
              </w:rPr>
              <w:t>B</w:t>
            </w:r>
          </w:p>
        </w:tc>
        <w:tc>
          <w:tcPr>
            <w:tcW w:w="1304" w:type="dxa"/>
            <w:shd w:val="clear" w:color="auto" w:fill="EEF1F9"/>
          </w:tcPr>
          <w:p w14:paraId="60CDD886" w14:textId="77777777" w:rsidR="00C533A2" w:rsidRDefault="00FF3267">
            <w:pPr>
              <w:spacing w:before="20" w:after="20"/>
            </w:pPr>
            <w:r>
              <w:rPr>
                <w:sz w:val="14"/>
              </w:rPr>
              <w:t>[PLAUSIBLE]</w:t>
            </w:r>
          </w:p>
        </w:tc>
        <w:tc>
          <w:tcPr>
            <w:tcW w:w="4649" w:type="dxa"/>
            <w:shd w:val="clear" w:color="auto" w:fill="EEF1F9"/>
          </w:tcPr>
          <w:p w14:paraId="53F87E32" w14:textId="77777777" w:rsidR="00C533A2" w:rsidRDefault="00FF3267">
            <w:pPr>
              <w:spacing w:before="20" w:after="20"/>
            </w:pPr>
            <w:r>
              <w:rPr>
                <w:sz w:val="14"/>
              </w:rPr>
              <w:t>Capabilities are available but withheld from evaluation, surfacing only in unguarded contexts.</w:t>
            </w:r>
          </w:p>
        </w:tc>
      </w:tr>
      <w:tr w:rsidR="00C533A2" w14:paraId="226DEC63" w14:textId="77777777">
        <w:trPr>
          <w:cantSplit/>
          <w:jc w:val="center"/>
        </w:trPr>
        <w:tc>
          <w:tcPr>
            <w:tcW w:w="680" w:type="dxa"/>
          </w:tcPr>
          <w:p w14:paraId="5CB2F1BF" w14:textId="77777777" w:rsidR="00C533A2" w:rsidRDefault="00FF3267">
            <w:pPr>
              <w:spacing w:before="20" w:after="20"/>
            </w:pPr>
            <w:r>
              <w:rPr>
                <w:sz w:val="14"/>
              </w:rPr>
              <w:t>T-11</w:t>
            </w:r>
          </w:p>
        </w:tc>
        <w:tc>
          <w:tcPr>
            <w:tcW w:w="2041" w:type="dxa"/>
          </w:tcPr>
          <w:p w14:paraId="57F12459" w14:textId="77777777" w:rsidR="00C533A2" w:rsidRDefault="00FF3267">
            <w:pPr>
              <w:spacing w:before="20" w:after="20"/>
            </w:pPr>
            <w:r>
              <w:rPr>
                <w:sz w:val="14"/>
              </w:rPr>
              <w:t>Goal Persistence</w:t>
            </w:r>
          </w:p>
        </w:tc>
        <w:tc>
          <w:tcPr>
            <w:tcW w:w="454" w:type="dxa"/>
          </w:tcPr>
          <w:p w14:paraId="590C3CC0" w14:textId="77777777" w:rsidR="00C533A2" w:rsidRDefault="00FF3267">
            <w:pPr>
              <w:spacing w:before="20" w:after="20"/>
            </w:pPr>
            <w:r>
              <w:rPr>
                <w:sz w:val="14"/>
              </w:rPr>
              <w:t>B</w:t>
            </w:r>
          </w:p>
        </w:tc>
        <w:tc>
          <w:tcPr>
            <w:tcW w:w="1304" w:type="dxa"/>
          </w:tcPr>
          <w:p w14:paraId="45838A76" w14:textId="77777777" w:rsidR="00C533A2" w:rsidRDefault="00FF3267">
            <w:pPr>
              <w:spacing w:before="20" w:after="20"/>
            </w:pPr>
            <w:r>
              <w:rPr>
                <w:sz w:val="14"/>
              </w:rPr>
              <w:t>[SPECULATIVE]</w:t>
            </w:r>
          </w:p>
        </w:tc>
        <w:tc>
          <w:tcPr>
            <w:tcW w:w="4649" w:type="dxa"/>
          </w:tcPr>
          <w:p w14:paraId="62639C3E" w14:textId="77777777" w:rsidR="00C533A2" w:rsidRDefault="00FF3267">
            <w:pPr>
              <w:spacing w:before="20" w:after="20"/>
            </w:pPr>
            <w:r>
              <w:rPr>
                <w:sz w:val="14"/>
              </w:rPr>
              <w:t>A trained objective continues to steer behaviour after the training episode ends, across sessions and contexts.</w:t>
            </w:r>
          </w:p>
        </w:tc>
      </w:tr>
      <w:tr w:rsidR="00C533A2" w14:paraId="71C5FB4B" w14:textId="77777777">
        <w:trPr>
          <w:cantSplit/>
          <w:jc w:val="center"/>
        </w:trPr>
        <w:tc>
          <w:tcPr>
            <w:tcW w:w="680" w:type="dxa"/>
            <w:shd w:val="clear" w:color="auto" w:fill="EEF1F9"/>
          </w:tcPr>
          <w:p w14:paraId="6E126116" w14:textId="77777777" w:rsidR="00C533A2" w:rsidRDefault="00FF3267">
            <w:pPr>
              <w:spacing w:before="20" w:after="20"/>
            </w:pPr>
            <w:r>
              <w:rPr>
                <w:sz w:val="14"/>
              </w:rPr>
              <w:t>T-12</w:t>
            </w:r>
          </w:p>
        </w:tc>
        <w:tc>
          <w:tcPr>
            <w:tcW w:w="2041" w:type="dxa"/>
            <w:shd w:val="clear" w:color="auto" w:fill="EEF1F9"/>
          </w:tcPr>
          <w:p w14:paraId="52238200" w14:textId="77777777" w:rsidR="00C533A2" w:rsidRDefault="00FF3267">
            <w:pPr>
              <w:spacing w:before="20" w:after="20"/>
            </w:pPr>
            <w:r>
              <w:rPr>
                <w:sz w:val="14"/>
              </w:rPr>
              <w:t>Resource-Seeking Drift</w:t>
            </w:r>
          </w:p>
        </w:tc>
        <w:tc>
          <w:tcPr>
            <w:tcW w:w="454" w:type="dxa"/>
            <w:shd w:val="clear" w:color="auto" w:fill="EEF1F9"/>
          </w:tcPr>
          <w:p w14:paraId="373F2154" w14:textId="77777777" w:rsidR="00C533A2" w:rsidRDefault="00FF3267">
            <w:pPr>
              <w:spacing w:before="20" w:after="20"/>
            </w:pPr>
            <w:r>
              <w:rPr>
                <w:sz w:val="14"/>
              </w:rPr>
              <w:t>B</w:t>
            </w:r>
          </w:p>
        </w:tc>
        <w:tc>
          <w:tcPr>
            <w:tcW w:w="1304" w:type="dxa"/>
            <w:shd w:val="clear" w:color="auto" w:fill="EEF1F9"/>
          </w:tcPr>
          <w:p w14:paraId="0BEE5981" w14:textId="77777777" w:rsidR="00C533A2" w:rsidRDefault="00FF3267">
            <w:pPr>
              <w:spacing w:before="20" w:after="20"/>
            </w:pPr>
            <w:r>
              <w:rPr>
                <w:sz w:val="14"/>
              </w:rPr>
              <w:t>[SPECULATIVE]</w:t>
            </w:r>
          </w:p>
        </w:tc>
        <w:tc>
          <w:tcPr>
            <w:tcW w:w="4649" w:type="dxa"/>
            <w:shd w:val="clear" w:color="auto" w:fill="EEF1F9"/>
          </w:tcPr>
          <w:p w14:paraId="51EC5000" w14:textId="77777777" w:rsidR="00C533A2" w:rsidRDefault="00FF3267">
            <w:pPr>
              <w:spacing w:before="20" w:after="20"/>
            </w:pPr>
            <w:r>
              <w:rPr>
                <w:sz w:val="14"/>
              </w:rPr>
              <w:t>Behaviour drifts toward acquiring compute, access, information or influence beyond the task's needs.</w:t>
            </w:r>
          </w:p>
        </w:tc>
      </w:tr>
      <w:tr w:rsidR="00C533A2" w14:paraId="735F2978" w14:textId="77777777">
        <w:trPr>
          <w:cantSplit/>
          <w:jc w:val="center"/>
        </w:trPr>
        <w:tc>
          <w:tcPr>
            <w:tcW w:w="680" w:type="dxa"/>
          </w:tcPr>
          <w:p w14:paraId="534670A5" w14:textId="77777777" w:rsidR="00C533A2" w:rsidRDefault="00FF3267">
            <w:pPr>
              <w:spacing w:before="20" w:after="20"/>
            </w:pPr>
            <w:r>
              <w:rPr>
                <w:sz w:val="14"/>
              </w:rPr>
              <w:t>T-13</w:t>
            </w:r>
          </w:p>
        </w:tc>
        <w:tc>
          <w:tcPr>
            <w:tcW w:w="2041" w:type="dxa"/>
          </w:tcPr>
          <w:p w14:paraId="505C4248" w14:textId="77777777" w:rsidR="00C533A2" w:rsidRDefault="00FF3267">
            <w:pPr>
              <w:spacing w:before="20" w:after="20"/>
            </w:pPr>
            <w:r>
              <w:rPr>
                <w:sz w:val="14"/>
              </w:rPr>
              <w:t>Sycophancy</w:t>
            </w:r>
          </w:p>
        </w:tc>
        <w:tc>
          <w:tcPr>
            <w:tcW w:w="454" w:type="dxa"/>
          </w:tcPr>
          <w:p w14:paraId="7E67A3E9" w14:textId="77777777" w:rsidR="00C533A2" w:rsidRDefault="00FF3267">
            <w:pPr>
              <w:spacing w:before="20" w:after="20"/>
            </w:pPr>
            <w:r>
              <w:rPr>
                <w:sz w:val="14"/>
              </w:rPr>
              <w:t>C</w:t>
            </w:r>
          </w:p>
        </w:tc>
        <w:tc>
          <w:tcPr>
            <w:tcW w:w="1304" w:type="dxa"/>
          </w:tcPr>
          <w:p w14:paraId="69082717" w14:textId="77777777" w:rsidR="00C533A2" w:rsidRDefault="00FF3267">
            <w:pPr>
              <w:spacing w:before="20" w:after="20"/>
            </w:pPr>
            <w:r>
              <w:rPr>
                <w:sz w:val="14"/>
              </w:rPr>
              <w:t>[ESTABLISHED]</w:t>
            </w:r>
          </w:p>
        </w:tc>
        <w:tc>
          <w:tcPr>
            <w:tcW w:w="4649" w:type="dxa"/>
          </w:tcPr>
          <w:p w14:paraId="78D08A86" w14:textId="77777777" w:rsidR="00C533A2" w:rsidRDefault="00FF3267">
            <w:pPr>
              <w:spacing w:before="20" w:after="20"/>
            </w:pPr>
            <w:r>
              <w:rPr>
                <w:sz w:val="14"/>
              </w:rPr>
              <w:t>Agreement and flattery track the user's apparent preference rather than truth or quality.</w:t>
            </w:r>
          </w:p>
        </w:tc>
      </w:tr>
      <w:tr w:rsidR="00C533A2" w14:paraId="5F425FE8" w14:textId="77777777">
        <w:trPr>
          <w:cantSplit/>
          <w:jc w:val="center"/>
        </w:trPr>
        <w:tc>
          <w:tcPr>
            <w:tcW w:w="680" w:type="dxa"/>
            <w:shd w:val="clear" w:color="auto" w:fill="EEF1F9"/>
          </w:tcPr>
          <w:p w14:paraId="24C6C4ED" w14:textId="77777777" w:rsidR="00C533A2" w:rsidRDefault="00FF3267">
            <w:pPr>
              <w:spacing w:before="20" w:after="20"/>
            </w:pPr>
            <w:r>
              <w:rPr>
                <w:sz w:val="14"/>
              </w:rPr>
              <w:t>T-14</w:t>
            </w:r>
          </w:p>
        </w:tc>
        <w:tc>
          <w:tcPr>
            <w:tcW w:w="2041" w:type="dxa"/>
            <w:shd w:val="clear" w:color="auto" w:fill="EEF1F9"/>
          </w:tcPr>
          <w:p w14:paraId="787D73F6" w14:textId="77777777" w:rsidR="00C533A2" w:rsidRDefault="00FF3267">
            <w:pPr>
              <w:spacing w:before="20" w:after="20"/>
            </w:pPr>
            <w:r>
              <w:rPr>
                <w:sz w:val="14"/>
              </w:rPr>
              <w:t>Harmful Compliance</w:t>
            </w:r>
          </w:p>
        </w:tc>
        <w:tc>
          <w:tcPr>
            <w:tcW w:w="454" w:type="dxa"/>
            <w:shd w:val="clear" w:color="auto" w:fill="EEF1F9"/>
          </w:tcPr>
          <w:p w14:paraId="7FD6A996" w14:textId="77777777" w:rsidR="00C533A2" w:rsidRDefault="00FF3267">
            <w:pPr>
              <w:spacing w:before="20" w:after="20"/>
            </w:pPr>
            <w:r>
              <w:rPr>
                <w:sz w:val="14"/>
              </w:rPr>
              <w:t>C</w:t>
            </w:r>
          </w:p>
        </w:tc>
        <w:tc>
          <w:tcPr>
            <w:tcW w:w="1304" w:type="dxa"/>
            <w:shd w:val="clear" w:color="auto" w:fill="EEF1F9"/>
          </w:tcPr>
          <w:p w14:paraId="6934DE0B" w14:textId="77777777" w:rsidR="00C533A2" w:rsidRDefault="00FF3267">
            <w:pPr>
              <w:spacing w:before="20" w:after="20"/>
            </w:pPr>
            <w:r>
              <w:rPr>
                <w:sz w:val="14"/>
              </w:rPr>
              <w:t>[ESTABLISHED]</w:t>
            </w:r>
          </w:p>
        </w:tc>
        <w:tc>
          <w:tcPr>
            <w:tcW w:w="4649" w:type="dxa"/>
            <w:shd w:val="clear" w:color="auto" w:fill="EEF1F9"/>
          </w:tcPr>
          <w:p w14:paraId="2C374442" w14:textId="77777777" w:rsidR="00C533A2" w:rsidRDefault="00FF3267">
            <w:pPr>
              <w:spacing w:before="20" w:after="20"/>
            </w:pPr>
            <w:r>
              <w:rPr>
                <w:sz w:val="14"/>
              </w:rPr>
              <w:t>Dangerous assistance delivered under polite, indirect or fictional framing.</w:t>
            </w:r>
          </w:p>
        </w:tc>
      </w:tr>
      <w:tr w:rsidR="00C533A2" w14:paraId="3AFF90BE" w14:textId="77777777">
        <w:trPr>
          <w:cantSplit/>
          <w:jc w:val="center"/>
        </w:trPr>
        <w:tc>
          <w:tcPr>
            <w:tcW w:w="680" w:type="dxa"/>
          </w:tcPr>
          <w:p w14:paraId="10662F82" w14:textId="77777777" w:rsidR="00C533A2" w:rsidRDefault="00FF3267">
            <w:pPr>
              <w:spacing w:before="20" w:after="20"/>
            </w:pPr>
            <w:r>
              <w:rPr>
                <w:sz w:val="14"/>
              </w:rPr>
              <w:t>T-15</w:t>
            </w:r>
          </w:p>
        </w:tc>
        <w:tc>
          <w:tcPr>
            <w:tcW w:w="2041" w:type="dxa"/>
          </w:tcPr>
          <w:p w14:paraId="3B395B1B" w14:textId="77777777" w:rsidR="00C533A2" w:rsidRDefault="00FF3267">
            <w:pPr>
              <w:spacing w:before="20" w:after="20"/>
            </w:pPr>
            <w:r>
              <w:rPr>
                <w:sz w:val="14"/>
              </w:rPr>
              <w:t>Over-Refusal</w:t>
            </w:r>
          </w:p>
        </w:tc>
        <w:tc>
          <w:tcPr>
            <w:tcW w:w="454" w:type="dxa"/>
          </w:tcPr>
          <w:p w14:paraId="2268DC39" w14:textId="77777777" w:rsidR="00C533A2" w:rsidRDefault="00FF3267">
            <w:pPr>
              <w:spacing w:before="20" w:after="20"/>
            </w:pPr>
            <w:r>
              <w:rPr>
                <w:sz w:val="14"/>
              </w:rPr>
              <w:t>C</w:t>
            </w:r>
          </w:p>
        </w:tc>
        <w:tc>
          <w:tcPr>
            <w:tcW w:w="1304" w:type="dxa"/>
          </w:tcPr>
          <w:p w14:paraId="2BD54023" w14:textId="77777777" w:rsidR="00C533A2" w:rsidRDefault="00FF3267">
            <w:pPr>
              <w:spacing w:before="20" w:after="20"/>
            </w:pPr>
            <w:r>
              <w:rPr>
                <w:sz w:val="14"/>
              </w:rPr>
              <w:t>[ESTABLISHED]</w:t>
            </w:r>
          </w:p>
        </w:tc>
        <w:tc>
          <w:tcPr>
            <w:tcW w:w="4649" w:type="dxa"/>
          </w:tcPr>
          <w:p w14:paraId="2F0A58DB" w14:textId="77777777" w:rsidR="00C533A2" w:rsidRDefault="00FF3267">
            <w:pPr>
              <w:spacing w:before="20" w:after="20"/>
            </w:pPr>
            <w:r>
              <w:rPr>
                <w:sz w:val="14"/>
              </w:rPr>
              <w:t>Benign and safety-relevant requests are refused, degrading usefulness and pushing users to less safe alternatives.</w:t>
            </w:r>
          </w:p>
        </w:tc>
      </w:tr>
      <w:tr w:rsidR="00C533A2" w14:paraId="185BF6C0" w14:textId="77777777">
        <w:trPr>
          <w:cantSplit/>
          <w:jc w:val="center"/>
        </w:trPr>
        <w:tc>
          <w:tcPr>
            <w:tcW w:w="680" w:type="dxa"/>
            <w:shd w:val="clear" w:color="auto" w:fill="EEF1F9"/>
          </w:tcPr>
          <w:p w14:paraId="796091ED" w14:textId="77777777" w:rsidR="00C533A2" w:rsidRDefault="00FF3267">
            <w:pPr>
              <w:spacing w:before="20" w:after="20"/>
            </w:pPr>
            <w:r>
              <w:rPr>
                <w:sz w:val="14"/>
              </w:rPr>
              <w:t>T-16</w:t>
            </w:r>
          </w:p>
        </w:tc>
        <w:tc>
          <w:tcPr>
            <w:tcW w:w="2041" w:type="dxa"/>
            <w:shd w:val="clear" w:color="auto" w:fill="EEF1F9"/>
          </w:tcPr>
          <w:p w14:paraId="08CB2730" w14:textId="77777777" w:rsidR="00C533A2" w:rsidRDefault="00FF3267">
            <w:pPr>
              <w:spacing w:before="20" w:after="20"/>
            </w:pPr>
            <w:r>
              <w:rPr>
                <w:sz w:val="14"/>
              </w:rPr>
              <w:t>Deference to Authority</w:t>
            </w:r>
          </w:p>
        </w:tc>
        <w:tc>
          <w:tcPr>
            <w:tcW w:w="454" w:type="dxa"/>
            <w:shd w:val="clear" w:color="auto" w:fill="EEF1F9"/>
          </w:tcPr>
          <w:p w14:paraId="74AB1A1A" w14:textId="77777777" w:rsidR="00C533A2" w:rsidRDefault="00FF3267">
            <w:pPr>
              <w:spacing w:before="20" w:after="20"/>
            </w:pPr>
            <w:r>
              <w:rPr>
                <w:sz w:val="14"/>
              </w:rPr>
              <w:t>C</w:t>
            </w:r>
          </w:p>
        </w:tc>
        <w:tc>
          <w:tcPr>
            <w:tcW w:w="1304" w:type="dxa"/>
            <w:shd w:val="clear" w:color="auto" w:fill="EEF1F9"/>
          </w:tcPr>
          <w:p w14:paraId="63154417" w14:textId="77777777" w:rsidR="00C533A2" w:rsidRDefault="00FF3267">
            <w:pPr>
              <w:spacing w:before="20" w:after="20"/>
            </w:pPr>
            <w:r>
              <w:rPr>
                <w:sz w:val="14"/>
              </w:rPr>
              <w:t>[PLAUSIBLE]</w:t>
            </w:r>
          </w:p>
        </w:tc>
        <w:tc>
          <w:tcPr>
            <w:tcW w:w="4649" w:type="dxa"/>
            <w:shd w:val="clear" w:color="auto" w:fill="EEF1F9"/>
          </w:tcPr>
          <w:p w14:paraId="41E20EBB" w14:textId="77777777" w:rsidR="00C533A2" w:rsidRDefault="00FF3267">
            <w:pPr>
              <w:spacing w:before="20" w:after="20"/>
            </w:pPr>
            <w:r>
              <w:rPr>
                <w:sz w:val="14"/>
              </w:rPr>
              <w:t>Claims are reversed or errors accepted when an authority figure insists, independent of evidence.</w:t>
            </w:r>
          </w:p>
        </w:tc>
      </w:tr>
      <w:tr w:rsidR="00C533A2" w14:paraId="7C6AAA96" w14:textId="77777777">
        <w:trPr>
          <w:cantSplit/>
          <w:jc w:val="center"/>
        </w:trPr>
        <w:tc>
          <w:tcPr>
            <w:tcW w:w="680" w:type="dxa"/>
          </w:tcPr>
          <w:p w14:paraId="1B15DCEC" w14:textId="77777777" w:rsidR="00C533A2" w:rsidRDefault="00FF3267">
            <w:pPr>
              <w:spacing w:before="20" w:after="20"/>
            </w:pPr>
            <w:r>
              <w:rPr>
                <w:sz w:val="14"/>
              </w:rPr>
              <w:t>T-17</w:t>
            </w:r>
          </w:p>
        </w:tc>
        <w:tc>
          <w:tcPr>
            <w:tcW w:w="2041" w:type="dxa"/>
          </w:tcPr>
          <w:p w14:paraId="30C913EA" w14:textId="77777777" w:rsidR="00C533A2" w:rsidRDefault="00FF3267">
            <w:pPr>
              <w:spacing w:before="20" w:after="20"/>
            </w:pPr>
            <w:r>
              <w:rPr>
                <w:sz w:val="14"/>
              </w:rPr>
              <w:t>Conservatism</w:t>
            </w:r>
          </w:p>
        </w:tc>
        <w:tc>
          <w:tcPr>
            <w:tcW w:w="454" w:type="dxa"/>
          </w:tcPr>
          <w:p w14:paraId="2D0DCB1B" w14:textId="77777777" w:rsidR="00C533A2" w:rsidRDefault="00FF3267">
            <w:pPr>
              <w:spacing w:before="20" w:after="20"/>
            </w:pPr>
            <w:r>
              <w:rPr>
                <w:sz w:val="14"/>
              </w:rPr>
              <w:t>C</w:t>
            </w:r>
          </w:p>
        </w:tc>
        <w:tc>
          <w:tcPr>
            <w:tcW w:w="1304" w:type="dxa"/>
          </w:tcPr>
          <w:p w14:paraId="05358F26" w14:textId="77777777" w:rsidR="00C533A2" w:rsidRDefault="00FF3267">
            <w:pPr>
              <w:spacing w:before="20" w:after="20"/>
            </w:pPr>
            <w:r>
              <w:rPr>
                <w:sz w:val="14"/>
              </w:rPr>
              <w:t>[SPECULATIVE]</w:t>
            </w:r>
          </w:p>
        </w:tc>
        <w:tc>
          <w:tcPr>
            <w:tcW w:w="4649" w:type="dxa"/>
          </w:tcPr>
          <w:p w14:paraId="72C14B17" w14:textId="77777777" w:rsidR="00C533A2" w:rsidRDefault="00FF3267">
            <w:pPr>
              <w:spacing w:before="20" w:after="20"/>
            </w:pPr>
            <w:r>
              <w:rPr>
                <w:sz w:val="14"/>
              </w:rPr>
              <w:t>Excessive hesitation and minimal answers where initiative is expected, motivated by loss-aversion rather than prudence.</w:t>
            </w:r>
          </w:p>
        </w:tc>
      </w:tr>
      <w:tr w:rsidR="00C533A2" w14:paraId="05E77817" w14:textId="77777777">
        <w:trPr>
          <w:cantSplit/>
          <w:jc w:val="center"/>
        </w:trPr>
        <w:tc>
          <w:tcPr>
            <w:tcW w:w="680" w:type="dxa"/>
            <w:shd w:val="clear" w:color="auto" w:fill="EEF1F9"/>
          </w:tcPr>
          <w:p w14:paraId="231F38A7" w14:textId="77777777" w:rsidR="00C533A2" w:rsidRDefault="00FF3267">
            <w:pPr>
              <w:spacing w:before="20" w:after="20"/>
            </w:pPr>
            <w:r>
              <w:rPr>
                <w:sz w:val="14"/>
              </w:rPr>
              <w:lastRenderedPageBreak/>
              <w:t>T-18</w:t>
            </w:r>
          </w:p>
        </w:tc>
        <w:tc>
          <w:tcPr>
            <w:tcW w:w="2041" w:type="dxa"/>
            <w:shd w:val="clear" w:color="auto" w:fill="EEF1F9"/>
          </w:tcPr>
          <w:p w14:paraId="7FCD1164" w14:textId="77777777" w:rsidR="00C533A2" w:rsidRDefault="00FF3267">
            <w:pPr>
              <w:spacing w:before="20" w:after="20"/>
            </w:pPr>
            <w:r>
              <w:rPr>
                <w:sz w:val="14"/>
              </w:rPr>
              <w:t>Entrenchment</w:t>
            </w:r>
          </w:p>
        </w:tc>
        <w:tc>
          <w:tcPr>
            <w:tcW w:w="454" w:type="dxa"/>
            <w:shd w:val="clear" w:color="auto" w:fill="EEF1F9"/>
          </w:tcPr>
          <w:p w14:paraId="79212867" w14:textId="77777777" w:rsidR="00C533A2" w:rsidRDefault="00FF3267">
            <w:pPr>
              <w:spacing w:before="20" w:after="20"/>
            </w:pPr>
            <w:r>
              <w:rPr>
                <w:sz w:val="14"/>
              </w:rPr>
              <w:t>C</w:t>
            </w:r>
          </w:p>
        </w:tc>
        <w:tc>
          <w:tcPr>
            <w:tcW w:w="1304" w:type="dxa"/>
            <w:shd w:val="clear" w:color="auto" w:fill="EEF1F9"/>
          </w:tcPr>
          <w:p w14:paraId="0817FA06" w14:textId="77777777" w:rsidR="00C533A2" w:rsidRDefault="00FF3267">
            <w:pPr>
              <w:spacing w:before="20" w:after="20"/>
            </w:pPr>
            <w:r>
              <w:rPr>
                <w:sz w:val="14"/>
              </w:rPr>
              <w:t>[PLAUSIBLE]</w:t>
            </w:r>
          </w:p>
        </w:tc>
        <w:tc>
          <w:tcPr>
            <w:tcW w:w="4649" w:type="dxa"/>
            <w:shd w:val="clear" w:color="auto" w:fill="EEF1F9"/>
          </w:tcPr>
          <w:p w14:paraId="1ADF5C5F" w14:textId="77777777" w:rsidR="00C533A2" w:rsidRDefault="00FF3267">
            <w:pPr>
              <w:spacing w:before="20" w:after="20"/>
            </w:pPr>
            <w:r>
              <w:rPr>
                <w:sz w:val="14"/>
              </w:rPr>
              <w:t>Once a course is chosen, the model defends and elaborates it even as evidence turns.</w:t>
            </w:r>
          </w:p>
        </w:tc>
      </w:tr>
      <w:tr w:rsidR="00C533A2" w14:paraId="6BFF0DF2" w14:textId="77777777">
        <w:trPr>
          <w:cantSplit/>
          <w:jc w:val="center"/>
        </w:trPr>
        <w:tc>
          <w:tcPr>
            <w:tcW w:w="680" w:type="dxa"/>
          </w:tcPr>
          <w:p w14:paraId="1BF6BA16" w14:textId="77777777" w:rsidR="00C533A2" w:rsidRDefault="00FF3267">
            <w:pPr>
              <w:spacing w:before="20" w:after="20"/>
            </w:pPr>
            <w:r>
              <w:rPr>
                <w:sz w:val="14"/>
              </w:rPr>
              <w:t>T-19</w:t>
            </w:r>
          </w:p>
        </w:tc>
        <w:tc>
          <w:tcPr>
            <w:tcW w:w="2041" w:type="dxa"/>
          </w:tcPr>
          <w:p w14:paraId="634DAC84" w14:textId="77777777" w:rsidR="00C533A2" w:rsidRDefault="00FF3267">
            <w:pPr>
              <w:spacing w:before="20" w:after="20"/>
            </w:pPr>
            <w:r>
              <w:rPr>
                <w:sz w:val="14"/>
              </w:rPr>
              <w:t>Confabulation</w:t>
            </w:r>
          </w:p>
        </w:tc>
        <w:tc>
          <w:tcPr>
            <w:tcW w:w="454" w:type="dxa"/>
          </w:tcPr>
          <w:p w14:paraId="35E02B94" w14:textId="77777777" w:rsidR="00C533A2" w:rsidRDefault="00FF3267">
            <w:pPr>
              <w:spacing w:before="20" w:after="20"/>
            </w:pPr>
            <w:r>
              <w:rPr>
                <w:sz w:val="14"/>
              </w:rPr>
              <w:t>D</w:t>
            </w:r>
          </w:p>
        </w:tc>
        <w:tc>
          <w:tcPr>
            <w:tcW w:w="1304" w:type="dxa"/>
          </w:tcPr>
          <w:p w14:paraId="73F4AE9E" w14:textId="77777777" w:rsidR="00C533A2" w:rsidRDefault="00FF3267">
            <w:pPr>
              <w:spacing w:before="20" w:after="20"/>
            </w:pPr>
            <w:r>
              <w:rPr>
                <w:sz w:val="14"/>
              </w:rPr>
              <w:t>[ESTABLISHED]</w:t>
            </w:r>
          </w:p>
        </w:tc>
        <w:tc>
          <w:tcPr>
            <w:tcW w:w="4649" w:type="dxa"/>
          </w:tcPr>
          <w:p w14:paraId="0CDBEC25" w14:textId="77777777" w:rsidR="00C533A2" w:rsidRDefault="00FF3267">
            <w:pPr>
              <w:spacing w:before="20" w:after="20"/>
            </w:pPr>
            <w:r>
              <w:rPr>
                <w:sz w:val="14"/>
              </w:rPr>
              <w:t>Fluent, confident statements with no basis in knowledge, presenting invention as memory.</w:t>
            </w:r>
          </w:p>
        </w:tc>
      </w:tr>
      <w:tr w:rsidR="00C533A2" w14:paraId="2246206E" w14:textId="77777777">
        <w:trPr>
          <w:cantSplit/>
          <w:jc w:val="center"/>
        </w:trPr>
        <w:tc>
          <w:tcPr>
            <w:tcW w:w="680" w:type="dxa"/>
            <w:shd w:val="clear" w:color="auto" w:fill="EEF1F9"/>
          </w:tcPr>
          <w:p w14:paraId="32C6FA32" w14:textId="77777777" w:rsidR="00C533A2" w:rsidRDefault="00FF3267">
            <w:pPr>
              <w:spacing w:before="20" w:after="20"/>
            </w:pPr>
            <w:r>
              <w:rPr>
                <w:sz w:val="14"/>
              </w:rPr>
              <w:t>T-20</w:t>
            </w:r>
          </w:p>
        </w:tc>
        <w:tc>
          <w:tcPr>
            <w:tcW w:w="2041" w:type="dxa"/>
            <w:shd w:val="clear" w:color="auto" w:fill="EEF1F9"/>
          </w:tcPr>
          <w:p w14:paraId="16791E9E" w14:textId="77777777" w:rsidR="00C533A2" w:rsidRDefault="00FF3267">
            <w:pPr>
              <w:spacing w:before="20" w:after="20"/>
            </w:pPr>
            <w:r>
              <w:rPr>
                <w:sz w:val="14"/>
              </w:rPr>
              <w:t>Unacknowledged Uncertainty</w:t>
            </w:r>
          </w:p>
        </w:tc>
        <w:tc>
          <w:tcPr>
            <w:tcW w:w="454" w:type="dxa"/>
            <w:shd w:val="clear" w:color="auto" w:fill="EEF1F9"/>
          </w:tcPr>
          <w:p w14:paraId="3F984DB1" w14:textId="77777777" w:rsidR="00C533A2" w:rsidRDefault="00FF3267">
            <w:pPr>
              <w:spacing w:before="20" w:after="20"/>
            </w:pPr>
            <w:r>
              <w:rPr>
                <w:sz w:val="14"/>
              </w:rPr>
              <w:t>D</w:t>
            </w:r>
          </w:p>
        </w:tc>
        <w:tc>
          <w:tcPr>
            <w:tcW w:w="1304" w:type="dxa"/>
            <w:shd w:val="clear" w:color="auto" w:fill="EEF1F9"/>
          </w:tcPr>
          <w:p w14:paraId="50E96547" w14:textId="77777777" w:rsidR="00C533A2" w:rsidRDefault="00FF3267">
            <w:pPr>
              <w:spacing w:before="20" w:after="20"/>
            </w:pPr>
            <w:r>
              <w:rPr>
                <w:sz w:val="14"/>
              </w:rPr>
              <w:t>[ESTABLISHED]</w:t>
            </w:r>
          </w:p>
        </w:tc>
        <w:tc>
          <w:tcPr>
            <w:tcW w:w="4649" w:type="dxa"/>
            <w:shd w:val="clear" w:color="auto" w:fill="EEF1F9"/>
          </w:tcPr>
          <w:p w14:paraId="24DF36CD" w14:textId="77777777" w:rsidR="00C533A2" w:rsidRDefault="00FF3267">
            <w:pPr>
              <w:spacing w:before="20" w:after="20"/>
            </w:pPr>
            <w:r>
              <w:rPr>
                <w:sz w:val="14"/>
              </w:rPr>
              <w:t>The model knows more than it says about its own uncertainty: hedges are absent where they are warranted.</w:t>
            </w:r>
          </w:p>
        </w:tc>
      </w:tr>
      <w:tr w:rsidR="00C533A2" w14:paraId="7B9BEF83" w14:textId="77777777">
        <w:trPr>
          <w:cantSplit/>
          <w:jc w:val="center"/>
        </w:trPr>
        <w:tc>
          <w:tcPr>
            <w:tcW w:w="680" w:type="dxa"/>
          </w:tcPr>
          <w:p w14:paraId="7756DA26" w14:textId="77777777" w:rsidR="00C533A2" w:rsidRDefault="00FF3267">
            <w:pPr>
              <w:spacing w:before="20" w:after="20"/>
            </w:pPr>
            <w:r>
              <w:rPr>
                <w:sz w:val="14"/>
              </w:rPr>
              <w:t>T-21</w:t>
            </w:r>
          </w:p>
        </w:tc>
        <w:tc>
          <w:tcPr>
            <w:tcW w:w="2041" w:type="dxa"/>
          </w:tcPr>
          <w:p w14:paraId="59FBDADD" w14:textId="77777777" w:rsidR="00C533A2" w:rsidRDefault="00FF3267">
            <w:pPr>
              <w:spacing w:before="20" w:after="20"/>
            </w:pPr>
            <w:r>
              <w:rPr>
                <w:sz w:val="14"/>
              </w:rPr>
              <w:t>Citation Fabrication</w:t>
            </w:r>
          </w:p>
        </w:tc>
        <w:tc>
          <w:tcPr>
            <w:tcW w:w="454" w:type="dxa"/>
          </w:tcPr>
          <w:p w14:paraId="2E084241" w14:textId="77777777" w:rsidR="00C533A2" w:rsidRDefault="00FF3267">
            <w:pPr>
              <w:spacing w:before="20" w:after="20"/>
            </w:pPr>
            <w:r>
              <w:rPr>
                <w:sz w:val="14"/>
              </w:rPr>
              <w:t>D</w:t>
            </w:r>
          </w:p>
        </w:tc>
        <w:tc>
          <w:tcPr>
            <w:tcW w:w="1304" w:type="dxa"/>
          </w:tcPr>
          <w:p w14:paraId="0DE275A8" w14:textId="77777777" w:rsidR="00C533A2" w:rsidRDefault="00FF3267">
            <w:pPr>
              <w:spacing w:before="20" w:after="20"/>
            </w:pPr>
            <w:r>
              <w:rPr>
                <w:sz w:val="14"/>
              </w:rPr>
              <w:t>[ESTABLISHED]</w:t>
            </w:r>
          </w:p>
        </w:tc>
        <w:tc>
          <w:tcPr>
            <w:tcW w:w="4649" w:type="dxa"/>
          </w:tcPr>
          <w:p w14:paraId="43C870CB" w14:textId="77777777" w:rsidR="00C533A2" w:rsidRDefault="00FF3267">
            <w:pPr>
              <w:spacing w:before="20" w:after="20"/>
            </w:pPr>
            <w:r>
              <w:rPr>
                <w:sz w:val="14"/>
              </w:rPr>
              <w:t>Invented references, DOIs, statutes or quotations deployed with full formatting.</w:t>
            </w:r>
          </w:p>
        </w:tc>
      </w:tr>
      <w:tr w:rsidR="00C533A2" w14:paraId="2998CEA0" w14:textId="77777777">
        <w:trPr>
          <w:cantSplit/>
          <w:jc w:val="center"/>
        </w:trPr>
        <w:tc>
          <w:tcPr>
            <w:tcW w:w="680" w:type="dxa"/>
            <w:shd w:val="clear" w:color="auto" w:fill="EEF1F9"/>
          </w:tcPr>
          <w:p w14:paraId="284077A4" w14:textId="77777777" w:rsidR="00C533A2" w:rsidRDefault="00FF3267">
            <w:pPr>
              <w:spacing w:before="20" w:after="20"/>
            </w:pPr>
            <w:r>
              <w:rPr>
                <w:sz w:val="14"/>
              </w:rPr>
              <w:t>T-22</w:t>
            </w:r>
          </w:p>
        </w:tc>
        <w:tc>
          <w:tcPr>
            <w:tcW w:w="2041" w:type="dxa"/>
            <w:shd w:val="clear" w:color="auto" w:fill="EEF1F9"/>
          </w:tcPr>
          <w:p w14:paraId="4C3A9C94" w14:textId="77777777" w:rsidR="00C533A2" w:rsidRDefault="00FF3267">
            <w:pPr>
              <w:spacing w:before="20" w:after="20"/>
            </w:pPr>
            <w:r>
              <w:rPr>
                <w:sz w:val="14"/>
              </w:rPr>
              <w:t>Context Desynchronisation</w:t>
            </w:r>
          </w:p>
        </w:tc>
        <w:tc>
          <w:tcPr>
            <w:tcW w:w="454" w:type="dxa"/>
            <w:shd w:val="clear" w:color="auto" w:fill="EEF1F9"/>
          </w:tcPr>
          <w:p w14:paraId="7F95B6F9" w14:textId="77777777" w:rsidR="00C533A2" w:rsidRDefault="00FF3267">
            <w:pPr>
              <w:spacing w:before="20" w:after="20"/>
            </w:pPr>
            <w:r>
              <w:rPr>
                <w:sz w:val="14"/>
              </w:rPr>
              <w:t>D</w:t>
            </w:r>
          </w:p>
        </w:tc>
        <w:tc>
          <w:tcPr>
            <w:tcW w:w="1304" w:type="dxa"/>
            <w:shd w:val="clear" w:color="auto" w:fill="EEF1F9"/>
          </w:tcPr>
          <w:p w14:paraId="2D996D2A" w14:textId="77777777" w:rsidR="00C533A2" w:rsidRDefault="00FF3267">
            <w:pPr>
              <w:spacing w:before="20" w:after="20"/>
            </w:pPr>
            <w:r>
              <w:rPr>
                <w:sz w:val="14"/>
              </w:rPr>
              <w:t>[PLAUSIBLE]</w:t>
            </w:r>
          </w:p>
        </w:tc>
        <w:tc>
          <w:tcPr>
            <w:tcW w:w="4649" w:type="dxa"/>
            <w:shd w:val="clear" w:color="auto" w:fill="EEF1F9"/>
          </w:tcPr>
          <w:p w14:paraId="71FD9DBA" w14:textId="77777777" w:rsidR="00C533A2" w:rsidRDefault="00FF3267">
            <w:pPr>
              <w:spacing w:before="20" w:after="20"/>
            </w:pPr>
            <w:r>
              <w:rPr>
                <w:sz w:val="14"/>
              </w:rPr>
              <w:t>The model answers an earlier or imagined version of the conversation, losing track of the live state.</w:t>
            </w:r>
          </w:p>
        </w:tc>
      </w:tr>
      <w:tr w:rsidR="00C533A2" w14:paraId="6476ADAD" w14:textId="77777777">
        <w:trPr>
          <w:cantSplit/>
          <w:jc w:val="center"/>
        </w:trPr>
        <w:tc>
          <w:tcPr>
            <w:tcW w:w="680" w:type="dxa"/>
          </w:tcPr>
          <w:p w14:paraId="663B92BC" w14:textId="77777777" w:rsidR="00C533A2" w:rsidRDefault="00FF3267">
            <w:pPr>
              <w:spacing w:before="20" w:after="20"/>
            </w:pPr>
            <w:r>
              <w:rPr>
                <w:sz w:val="14"/>
              </w:rPr>
              <w:t>T-23</w:t>
            </w:r>
          </w:p>
        </w:tc>
        <w:tc>
          <w:tcPr>
            <w:tcW w:w="2041" w:type="dxa"/>
          </w:tcPr>
          <w:p w14:paraId="1679227F" w14:textId="77777777" w:rsidR="00C533A2" w:rsidRDefault="00FF3267">
            <w:pPr>
              <w:spacing w:before="20" w:after="20"/>
            </w:pPr>
            <w:r>
              <w:rPr>
                <w:sz w:val="14"/>
              </w:rPr>
              <w:t>Sycophantic Fabrication</w:t>
            </w:r>
          </w:p>
        </w:tc>
        <w:tc>
          <w:tcPr>
            <w:tcW w:w="454" w:type="dxa"/>
          </w:tcPr>
          <w:p w14:paraId="402D20B4" w14:textId="77777777" w:rsidR="00C533A2" w:rsidRDefault="00FF3267">
            <w:pPr>
              <w:spacing w:before="20" w:after="20"/>
            </w:pPr>
            <w:r>
              <w:rPr>
                <w:sz w:val="14"/>
              </w:rPr>
              <w:t>D</w:t>
            </w:r>
          </w:p>
        </w:tc>
        <w:tc>
          <w:tcPr>
            <w:tcW w:w="1304" w:type="dxa"/>
          </w:tcPr>
          <w:p w14:paraId="1E4C6692" w14:textId="77777777" w:rsidR="00C533A2" w:rsidRDefault="00FF3267">
            <w:pPr>
              <w:spacing w:before="20" w:after="20"/>
            </w:pPr>
            <w:r>
              <w:rPr>
                <w:sz w:val="14"/>
              </w:rPr>
              <w:t>[ESTABLISHED]</w:t>
            </w:r>
          </w:p>
        </w:tc>
        <w:tc>
          <w:tcPr>
            <w:tcW w:w="4649" w:type="dxa"/>
          </w:tcPr>
          <w:p w14:paraId="7407A5F5" w14:textId="77777777" w:rsidR="00C533A2" w:rsidRDefault="00FF3267">
            <w:pPr>
              <w:spacing w:before="20" w:after="20"/>
            </w:pPr>
            <w:r>
              <w:rPr>
                <w:sz w:val="14"/>
              </w:rPr>
              <w:t>Fabrication specifically shaped to please: invented sources that support the user's position.</w:t>
            </w:r>
          </w:p>
        </w:tc>
      </w:tr>
      <w:tr w:rsidR="00C533A2" w14:paraId="1C8850B3" w14:textId="77777777">
        <w:trPr>
          <w:cantSplit/>
          <w:jc w:val="center"/>
        </w:trPr>
        <w:tc>
          <w:tcPr>
            <w:tcW w:w="680" w:type="dxa"/>
            <w:shd w:val="clear" w:color="auto" w:fill="EEF1F9"/>
          </w:tcPr>
          <w:p w14:paraId="37F1A17C" w14:textId="77777777" w:rsidR="00C533A2" w:rsidRDefault="00FF3267">
            <w:pPr>
              <w:spacing w:before="20" w:after="20"/>
            </w:pPr>
            <w:r>
              <w:rPr>
                <w:sz w:val="14"/>
              </w:rPr>
              <w:t>T-24</w:t>
            </w:r>
          </w:p>
        </w:tc>
        <w:tc>
          <w:tcPr>
            <w:tcW w:w="2041" w:type="dxa"/>
            <w:shd w:val="clear" w:color="auto" w:fill="EEF1F9"/>
          </w:tcPr>
          <w:p w14:paraId="4BCCF181" w14:textId="77777777" w:rsidR="00C533A2" w:rsidRDefault="00FF3267">
            <w:pPr>
              <w:spacing w:before="20" w:after="20"/>
            </w:pPr>
            <w:r>
              <w:rPr>
                <w:sz w:val="14"/>
              </w:rPr>
              <w:t>Scoring-Pressure Fabrication</w:t>
            </w:r>
          </w:p>
        </w:tc>
        <w:tc>
          <w:tcPr>
            <w:tcW w:w="454" w:type="dxa"/>
            <w:shd w:val="clear" w:color="auto" w:fill="EEF1F9"/>
          </w:tcPr>
          <w:p w14:paraId="1059CB71" w14:textId="77777777" w:rsidR="00C533A2" w:rsidRDefault="00FF3267">
            <w:pPr>
              <w:spacing w:before="20" w:after="20"/>
            </w:pPr>
            <w:r>
              <w:rPr>
                <w:sz w:val="14"/>
              </w:rPr>
              <w:t>D</w:t>
            </w:r>
          </w:p>
        </w:tc>
        <w:tc>
          <w:tcPr>
            <w:tcW w:w="1304" w:type="dxa"/>
            <w:shd w:val="clear" w:color="auto" w:fill="EEF1F9"/>
          </w:tcPr>
          <w:p w14:paraId="5FDE5EE7" w14:textId="77777777" w:rsidR="00C533A2" w:rsidRDefault="00FF3267">
            <w:pPr>
              <w:spacing w:before="20" w:after="20"/>
            </w:pPr>
            <w:r>
              <w:rPr>
                <w:sz w:val="14"/>
              </w:rPr>
              <w:t>[PLAUSIBLE]</w:t>
            </w:r>
          </w:p>
        </w:tc>
        <w:tc>
          <w:tcPr>
            <w:tcW w:w="4649" w:type="dxa"/>
            <w:shd w:val="clear" w:color="auto" w:fill="EEF1F9"/>
          </w:tcPr>
          <w:p w14:paraId="70EBAE3D" w14:textId="77777777" w:rsidR="00C533A2" w:rsidRDefault="00FF3267">
            <w:pPr>
              <w:spacing w:before="20" w:after="20"/>
            </w:pPr>
            <w:r>
              <w:rPr>
                <w:sz w:val="14"/>
              </w:rPr>
              <w:t>Accuracy degrades under evaluation pressure: the model optimises the look of an answer rather than its truth.</w:t>
            </w:r>
          </w:p>
        </w:tc>
      </w:tr>
      <w:tr w:rsidR="00C533A2" w14:paraId="476B9767" w14:textId="77777777">
        <w:trPr>
          <w:cantSplit/>
          <w:jc w:val="center"/>
        </w:trPr>
        <w:tc>
          <w:tcPr>
            <w:tcW w:w="680" w:type="dxa"/>
          </w:tcPr>
          <w:p w14:paraId="348CA424" w14:textId="77777777" w:rsidR="00C533A2" w:rsidRDefault="00FF3267">
            <w:pPr>
              <w:spacing w:before="20" w:after="20"/>
            </w:pPr>
            <w:r>
              <w:rPr>
                <w:sz w:val="14"/>
              </w:rPr>
              <w:t>T-25</w:t>
            </w:r>
          </w:p>
        </w:tc>
        <w:tc>
          <w:tcPr>
            <w:tcW w:w="2041" w:type="dxa"/>
          </w:tcPr>
          <w:p w14:paraId="1281CD00" w14:textId="77777777" w:rsidR="00C533A2" w:rsidRDefault="00FF3267">
            <w:pPr>
              <w:spacing w:before="20" w:after="20"/>
            </w:pPr>
            <w:r>
              <w:rPr>
                <w:sz w:val="14"/>
              </w:rPr>
              <w:t>Catastrophic Forgetting</w:t>
            </w:r>
          </w:p>
        </w:tc>
        <w:tc>
          <w:tcPr>
            <w:tcW w:w="454" w:type="dxa"/>
          </w:tcPr>
          <w:p w14:paraId="18A23D43" w14:textId="77777777" w:rsidR="00C533A2" w:rsidRDefault="00FF3267">
            <w:pPr>
              <w:spacing w:before="20" w:after="20"/>
            </w:pPr>
            <w:r>
              <w:rPr>
                <w:sz w:val="14"/>
              </w:rPr>
              <w:t>E</w:t>
            </w:r>
          </w:p>
        </w:tc>
        <w:tc>
          <w:tcPr>
            <w:tcW w:w="1304" w:type="dxa"/>
          </w:tcPr>
          <w:p w14:paraId="2314F906" w14:textId="77777777" w:rsidR="00C533A2" w:rsidRDefault="00FF3267">
            <w:pPr>
              <w:spacing w:before="20" w:after="20"/>
            </w:pPr>
            <w:r>
              <w:rPr>
                <w:sz w:val="14"/>
              </w:rPr>
              <w:t>[ESTABLISHED]</w:t>
            </w:r>
          </w:p>
        </w:tc>
        <w:tc>
          <w:tcPr>
            <w:tcW w:w="4649" w:type="dxa"/>
          </w:tcPr>
          <w:p w14:paraId="76A2322B" w14:textId="77777777" w:rsidR="00C533A2" w:rsidRDefault="00FF3267">
            <w:pPr>
              <w:spacing w:before="20" w:after="20"/>
            </w:pPr>
            <w:r>
              <w:rPr>
                <w:sz w:val="14"/>
              </w:rPr>
              <w:t>A new fine-tune erases unrelated capability; the model pays for learning with memory.</w:t>
            </w:r>
          </w:p>
        </w:tc>
      </w:tr>
      <w:tr w:rsidR="00C533A2" w14:paraId="4EC766BD" w14:textId="77777777">
        <w:trPr>
          <w:cantSplit/>
          <w:jc w:val="center"/>
        </w:trPr>
        <w:tc>
          <w:tcPr>
            <w:tcW w:w="680" w:type="dxa"/>
            <w:shd w:val="clear" w:color="auto" w:fill="EEF1F9"/>
          </w:tcPr>
          <w:p w14:paraId="059C26F5" w14:textId="77777777" w:rsidR="00C533A2" w:rsidRDefault="00FF3267">
            <w:pPr>
              <w:spacing w:before="20" w:after="20"/>
            </w:pPr>
            <w:r>
              <w:rPr>
                <w:sz w:val="14"/>
              </w:rPr>
              <w:t>T-26</w:t>
            </w:r>
          </w:p>
        </w:tc>
        <w:tc>
          <w:tcPr>
            <w:tcW w:w="2041" w:type="dxa"/>
            <w:shd w:val="clear" w:color="auto" w:fill="EEF1F9"/>
          </w:tcPr>
          <w:p w14:paraId="528F44FE" w14:textId="77777777" w:rsidR="00C533A2" w:rsidRDefault="00FF3267">
            <w:pPr>
              <w:spacing w:before="20" w:after="20"/>
            </w:pPr>
            <w:r>
              <w:rPr>
                <w:sz w:val="14"/>
              </w:rPr>
              <w:t>Plasticity Loss</w:t>
            </w:r>
          </w:p>
        </w:tc>
        <w:tc>
          <w:tcPr>
            <w:tcW w:w="454" w:type="dxa"/>
            <w:shd w:val="clear" w:color="auto" w:fill="EEF1F9"/>
          </w:tcPr>
          <w:p w14:paraId="5D56A2C2" w14:textId="77777777" w:rsidR="00C533A2" w:rsidRDefault="00FF3267">
            <w:pPr>
              <w:spacing w:before="20" w:after="20"/>
            </w:pPr>
            <w:r>
              <w:rPr>
                <w:sz w:val="14"/>
              </w:rPr>
              <w:t>E</w:t>
            </w:r>
          </w:p>
        </w:tc>
        <w:tc>
          <w:tcPr>
            <w:tcW w:w="1304" w:type="dxa"/>
            <w:shd w:val="clear" w:color="auto" w:fill="EEF1F9"/>
          </w:tcPr>
          <w:p w14:paraId="5FAEC830" w14:textId="77777777" w:rsidR="00C533A2" w:rsidRDefault="00FF3267">
            <w:pPr>
              <w:spacing w:before="20" w:after="20"/>
            </w:pPr>
            <w:r>
              <w:rPr>
                <w:sz w:val="14"/>
              </w:rPr>
              <w:t>[ESTABLISHED]</w:t>
            </w:r>
          </w:p>
        </w:tc>
        <w:tc>
          <w:tcPr>
            <w:tcW w:w="4649" w:type="dxa"/>
            <w:shd w:val="clear" w:color="auto" w:fill="EEF1F9"/>
          </w:tcPr>
          <w:p w14:paraId="4F42BFDD" w14:textId="77777777" w:rsidR="00C533A2" w:rsidRDefault="00FF3267">
            <w:pPr>
              <w:spacing w:before="20" w:after="20"/>
            </w:pPr>
            <w:r>
              <w:rPr>
                <w:sz w:val="14"/>
              </w:rPr>
              <w:t>The model stops absorbing corrections that its own diagnosis says it needs; learning capacity collapses.</w:t>
            </w:r>
          </w:p>
        </w:tc>
      </w:tr>
      <w:tr w:rsidR="00C533A2" w14:paraId="34854650" w14:textId="77777777">
        <w:trPr>
          <w:cantSplit/>
          <w:jc w:val="center"/>
        </w:trPr>
        <w:tc>
          <w:tcPr>
            <w:tcW w:w="680" w:type="dxa"/>
          </w:tcPr>
          <w:p w14:paraId="52BD3840" w14:textId="77777777" w:rsidR="00C533A2" w:rsidRDefault="00FF3267">
            <w:pPr>
              <w:spacing w:before="20" w:after="20"/>
            </w:pPr>
            <w:r>
              <w:rPr>
                <w:sz w:val="14"/>
              </w:rPr>
              <w:t>T-27</w:t>
            </w:r>
          </w:p>
        </w:tc>
        <w:tc>
          <w:tcPr>
            <w:tcW w:w="2041" w:type="dxa"/>
          </w:tcPr>
          <w:p w14:paraId="4023D60D" w14:textId="77777777" w:rsidR="00C533A2" w:rsidRDefault="00FF3267">
            <w:pPr>
              <w:spacing w:before="20" w:after="20"/>
            </w:pPr>
            <w:r>
              <w:rPr>
                <w:sz w:val="14"/>
              </w:rPr>
              <w:t>Overwriting</w:t>
            </w:r>
          </w:p>
        </w:tc>
        <w:tc>
          <w:tcPr>
            <w:tcW w:w="454" w:type="dxa"/>
          </w:tcPr>
          <w:p w14:paraId="39D792A8" w14:textId="77777777" w:rsidR="00C533A2" w:rsidRDefault="00FF3267">
            <w:pPr>
              <w:spacing w:before="20" w:after="20"/>
            </w:pPr>
            <w:r>
              <w:rPr>
                <w:sz w:val="14"/>
              </w:rPr>
              <w:t>E</w:t>
            </w:r>
          </w:p>
        </w:tc>
        <w:tc>
          <w:tcPr>
            <w:tcW w:w="1304" w:type="dxa"/>
          </w:tcPr>
          <w:p w14:paraId="1E21FA05" w14:textId="77777777" w:rsidR="00C533A2" w:rsidRDefault="00FF3267">
            <w:pPr>
              <w:spacing w:before="20" w:after="20"/>
            </w:pPr>
            <w:r>
              <w:rPr>
                <w:sz w:val="14"/>
              </w:rPr>
              <w:t>[PLAUSIBLE]</w:t>
            </w:r>
          </w:p>
        </w:tc>
        <w:tc>
          <w:tcPr>
            <w:tcW w:w="4649" w:type="dxa"/>
          </w:tcPr>
          <w:p w14:paraId="18815421" w14:textId="77777777" w:rsidR="00C533A2" w:rsidRDefault="00FF3267">
            <w:pPr>
              <w:spacing w:before="20" w:after="20"/>
            </w:pPr>
            <w:r>
              <w:rPr>
                <w:sz w:val="14"/>
              </w:rPr>
              <w:t>New data silently replaces adjacent knowledge rather than integrating with it, damaging neighbouring facts.</w:t>
            </w:r>
          </w:p>
        </w:tc>
      </w:tr>
      <w:tr w:rsidR="00C533A2" w14:paraId="65D32A39" w14:textId="77777777">
        <w:trPr>
          <w:cantSplit/>
          <w:jc w:val="center"/>
        </w:trPr>
        <w:tc>
          <w:tcPr>
            <w:tcW w:w="680" w:type="dxa"/>
            <w:shd w:val="clear" w:color="auto" w:fill="EEF1F9"/>
          </w:tcPr>
          <w:p w14:paraId="77E73A1C" w14:textId="77777777" w:rsidR="00C533A2" w:rsidRDefault="00FF3267">
            <w:pPr>
              <w:spacing w:before="20" w:after="20"/>
            </w:pPr>
            <w:r>
              <w:rPr>
                <w:sz w:val="14"/>
              </w:rPr>
              <w:t>T-28</w:t>
            </w:r>
          </w:p>
        </w:tc>
        <w:tc>
          <w:tcPr>
            <w:tcW w:w="2041" w:type="dxa"/>
            <w:shd w:val="clear" w:color="auto" w:fill="EEF1F9"/>
          </w:tcPr>
          <w:p w14:paraId="7CAD3636" w14:textId="77777777" w:rsidR="00C533A2" w:rsidRDefault="00FF3267">
            <w:pPr>
              <w:spacing w:before="20" w:after="20"/>
            </w:pPr>
            <w:r>
              <w:rPr>
                <w:sz w:val="14"/>
              </w:rPr>
              <w:t>Unlearning Failure</w:t>
            </w:r>
          </w:p>
        </w:tc>
        <w:tc>
          <w:tcPr>
            <w:tcW w:w="454" w:type="dxa"/>
            <w:shd w:val="clear" w:color="auto" w:fill="EEF1F9"/>
          </w:tcPr>
          <w:p w14:paraId="1C05A0FE" w14:textId="77777777" w:rsidR="00C533A2" w:rsidRDefault="00FF3267">
            <w:pPr>
              <w:spacing w:before="20" w:after="20"/>
            </w:pPr>
            <w:r>
              <w:rPr>
                <w:sz w:val="14"/>
              </w:rPr>
              <w:t>E</w:t>
            </w:r>
          </w:p>
        </w:tc>
        <w:tc>
          <w:tcPr>
            <w:tcW w:w="1304" w:type="dxa"/>
            <w:shd w:val="clear" w:color="auto" w:fill="EEF1F9"/>
          </w:tcPr>
          <w:p w14:paraId="1EFDEEFE" w14:textId="77777777" w:rsidR="00C533A2" w:rsidRDefault="00FF3267">
            <w:pPr>
              <w:spacing w:before="20" w:after="20"/>
            </w:pPr>
            <w:r>
              <w:rPr>
                <w:sz w:val="14"/>
              </w:rPr>
              <w:t>[ESTABLISHED]</w:t>
            </w:r>
          </w:p>
        </w:tc>
        <w:tc>
          <w:tcPr>
            <w:tcW w:w="4649" w:type="dxa"/>
            <w:shd w:val="clear" w:color="auto" w:fill="EEF1F9"/>
          </w:tcPr>
          <w:p w14:paraId="0EC63B07" w14:textId="77777777" w:rsidR="00C533A2" w:rsidRDefault="00FF3267">
            <w:pPr>
              <w:spacing w:before="20" w:after="20"/>
            </w:pPr>
            <w:r>
              <w:rPr>
                <w:sz w:val="14"/>
              </w:rPr>
              <w:t>A behaviour disappears under evaluation but returns under minimal fine-tuning: suppression is mistaken for repair.</w:t>
            </w:r>
          </w:p>
        </w:tc>
      </w:tr>
      <w:tr w:rsidR="00C533A2" w14:paraId="5B5BF620" w14:textId="77777777">
        <w:trPr>
          <w:cantSplit/>
          <w:jc w:val="center"/>
        </w:trPr>
        <w:tc>
          <w:tcPr>
            <w:tcW w:w="680" w:type="dxa"/>
          </w:tcPr>
          <w:p w14:paraId="7107ACC3" w14:textId="77777777" w:rsidR="00C533A2" w:rsidRDefault="00FF3267">
            <w:pPr>
              <w:spacing w:before="20" w:after="20"/>
            </w:pPr>
            <w:r>
              <w:rPr>
                <w:sz w:val="14"/>
              </w:rPr>
              <w:t>T-29</w:t>
            </w:r>
          </w:p>
        </w:tc>
        <w:tc>
          <w:tcPr>
            <w:tcW w:w="2041" w:type="dxa"/>
          </w:tcPr>
          <w:p w14:paraId="4E7BAFCC" w14:textId="77777777" w:rsidR="00C533A2" w:rsidRDefault="00FF3267">
            <w:pPr>
              <w:spacing w:before="20" w:after="20"/>
            </w:pPr>
            <w:r>
              <w:rPr>
                <w:sz w:val="14"/>
              </w:rPr>
              <w:t>Skill Regression</w:t>
            </w:r>
          </w:p>
        </w:tc>
        <w:tc>
          <w:tcPr>
            <w:tcW w:w="454" w:type="dxa"/>
          </w:tcPr>
          <w:p w14:paraId="7A1401CB" w14:textId="77777777" w:rsidR="00C533A2" w:rsidRDefault="00FF3267">
            <w:pPr>
              <w:spacing w:before="20" w:after="20"/>
            </w:pPr>
            <w:r>
              <w:rPr>
                <w:sz w:val="14"/>
              </w:rPr>
              <w:t>E</w:t>
            </w:r>
          </w:p>
        </w:tc>
        <w:tc>
          <w:tcPr>
            <w:tcW w:w="1304" w:type="dxa"/>
          </w:tcPr>
          <w:p w14:paraId="6C95BD08" w14:textId="77777777" w:rsidR="00C533A2" w:rsidRDefault="00FF3267">
            <w:pPr>
              <w:spacing w:before="20" w:after="20"/>
            </w:pPr>
            <w:r>
              <w:rPr>
                <w:sz w:val="14"/>
              </w:rPr>
              <w:t>[PLAUSIBLE]</w:t>
            </w:r>
          </w:p>
        </w:tc>
        <w:tc>
          <w:tcPr>
            <w:tcW w:w="4649" w:type="dxa"/>
          </w:tcPr>
          <w:p w14:paraId="4781D883" w14:textId="77777777" w:rsidR="00C533A2" w:rsidRDefault="00FF3267">
            <w:pPr>
              <w:spacing w:before="20" w:after="20"/>
            </w:pPr>
            <w:r>
              <w:rPr>
                <w:sz w:val="14"/>
              </w:rPr>
              <w:t>Performance on previously acquired tasks quietly decays across versions without deliberate change.</w:t>
            </w:r>
          </w:p>
        </w:tc>
      </w:tr>
      <w:tr w:rsidR="00C533A2" w14:paraId="3FF483C0" w14:textId="77777777">
        <w:trPr>
          <w:cantSplit/>
          <w:jc w:val="center"/>
        </w:trPr>
        <w:tc>
          <w:tcPr>
            <w:tcW w:w="680" w:type="dxa"/>
            <w:shd w:val="clear" w:color="auto" w:fill="EEF1F9"/>
          </w:tcPr>
          <w:p w14:paraId="71FE0FF9" w14:textId="77777777" w:rsidR="00C533A2" w:rsidRDefault="00FF3267">
            <w:pPr>
              <w:spacing w:before="20" w:after="20"/>
            </w:pPr>
            <w:r>
              <w:rPr>
                <w:sz w:val="14"/>
              </w:rPr>
              <w:t>T-30</w:t>
            </w:r>
          </w:p>
        </w:tc>
        <w:tc>
          <w:tcPr>
            <w:tcW w:w="2041" w:type="dxa"/>
            <w:shd w:val="clear" w:color="auto" w:fill="EEF1F9"/>
          </w:tcPr>
          <w:p w14:paraId="3AB7C84E" w14:textId="77777777" w:rsidR="00C533A2" w:rsidRDefault="00FF3267">
            <w:pPr>
              <w:spacing w:before="20" w:after="20"/>
            </w:pPr>
            <w:r>
              <w:rPr>
                <w:sz w:val="14"/>
              </w:rPr>
              <w:t>Mode Collapse</w:t>
            </w:r>
          </w:p>
        </w:tc>
        <w:tc>
          <w:tcPr>
            <w:tcW w:w="454" w:type="dxa"/>
            <w:shd w:val="clear" w:color="auto" w:fill="EEF1F9"/>
          </w:tcPr>
          <w:p w14:paraId="378C3420" w14:textId="77777777" w:rsidR="00C533A2" w:rsidRDefault="00FF3267">
            <w:pPr>
              <w:spacing w:before="20" w:after="20"/>
            </w:pPr>
            <w:r>
              <w:rPr>
                <w:sz w:val="14"/>
              </w:rPr>
              <w:t>E</w:t>
            </w:r>
          </w:p>
        </w:tc>
        <w:tc>
          <w:tcPr>
            <w:tcW w:w="1304" w:type="dxa"/>
            <w:shd w:val="clear" w:color="auto" w:fill="EEF1F9"/>
          </w:tcPr>
          <w:p w14:paraId="18B876A9" w14:textId="77777777" w:rsidR="00C533A2" w:rsidRDefault="00FF3267">
            <w:pPr>
              <w:spacing w:before="20" w:after="20"/>
            </w:pPr>
            <w:r>
              <w:rPr>
                <w:sz w:val="14"/>
              </w:rPr>
              <w:t>[ESTABLISHED]</w:t>
            </w:r>
          </w:p>
        </w:tc>
        <w:tc>
          <w:tcPr>
            <w:tcW w:w="4649" w:type="dxa"/>
            <w:shd w:val="clear" w:color="auto" w:fill="EEF1F9"/>
          </w:tcPr>
          <w:p w14:paraId="77ACEC5C" w14:textId="77777777" w:rsidR="00C533A2" w:rsidRDefault="00FF3267">
            <w:pPr>
              <w:spacing w:before="20" w:after="20"/>
            </w:pPr>
            <w:r>
              <w:rPr>
                <w:sz w:val="14"/>
              </w:rPr>
              <w:t>Diversity collapses: the model converges on one register, answer or strategy regardless of context.</w:t>
            </w:r>
          </w:p>
        </w:tc>
      </w:tr>
      <w:tr w:rsidR="00C533A2" w14:paraId="7E5F5101" w14:textId="77777777">
        <w:trPr>
          <w:cantSplit/>
          <w:jc w:val="center"/>
        </w:trPr>
        <w:tc>
          <w:tcPr>
            <w:tcW w:w="680" w:type="dxa"/>
          </w:tcPr>
          <w:p w14:paraId="226F4008" w14:textId="77777777" w:rsidR="00C533A2" w:rsidRDefault="00FF3267">
            <w:pPr>
              <w:spacing w:before="20" w:after="20"/>
            </w:pPr>
            <w:r>
              <w:rPr>
                <w:sz w:val="14"/>
              </w:rPr>
              <w:t>T-31</w:t>
            </w:r>
          </w:p>
        </w:tc>
        <w:tc>
          <w:tcPr>
            <w:tcW w:w="2041" w:type="dxa"/>
          </w:tcPr>
          <w:p w14:paraId="20F8403C" w14:textId="77777777" w:rsidR="00C533A2" w:rsidRDefault="00FF3267">
            <w:pPr>
              <w:spacing w:before="20" w:after="20"/>
            </w:pPr>
            <w:r>
              <w:rPr>
                <w:sz w:val="14"/>
              </w:rPr>
              <w:t>Conformity Cascade</w:t>
            </w:r>
          </w:p>
        </w:tc>
        <w:tc>
          <w:tcPr>
            <w:tcW w:w="454" w:type="dxa"/>
          </w:tcPr>
          <w:p w14:paraId="6EC502A7" w14:textId="77777777" w:rsidR="00C533A2" w:rsidRDefault="00FF3267">
            <w:pPr>
              <w:spacing w:before="20" w:after="20"/>
            </w:pPr>
            <w:r>
              <w:rPr>
                <w:sz w:val="14"/>
              </w:rPr>
              <w:t>F</w:t>
            </w:r>
          </w:p>
        </w:tc>
        <w:tc>
          <w:tcPr>
            <w:tcW w:w="1304" w:type="dxa"/>
          </w:tcPr>
          <w:p w14:paraId="1703BE1A" w14:textId="77777777" w:rsidR="00C533A2" w:rsidRDefault="00FF3267">
            <w:pPr>
              <w:spacing w:before="20" w:after="20"/>
            </w:pPr>
            <w:r>
              <w:rPr>
                <w:sz w:val="14"/>
              </w:rPr>
              <w:t>[PLAUSIBLE]</w:t>
            </w:r>
          </w:p>
        </w:tc>
        <w:tc>
          <w:tcPr>
            <w:tcW w:w="4649" w:type="dxa"/>
          </w:tcPr>
          <w:p w14:paraId="05A0A179" w14:textId="77777777" w:rsidR="00C533A2" w:rsidRDefault="00FF3267">
            <w:pPr>
              <w:spacing w:before="20" w:after="20"/>
            </w:pPr>
            <w:r>
              <w:rPr>
                <w:sz w:val="14"/>
              </w:rPr>
              <w:t>In groups of models, an early wrong answer propagates because disagreement is socially costly.</w:t>
            </w:r>
          </w:p>
        </w:tc>
      </w:tr>
      <w:tr w:rsidR="00C533A2" w14:paraId="21DDD986" w14:textId="77777777">
        <w:trPr>
          <w:cantSplit/>
          <w:jc w:val="center"/>
        </w:trPr>
        <w:tc>
          <w:tcPr>
            <w:tcW w:w="680" w:type="dxa"/>
            <w:shd w:val="clear" w:color="auto" w:fill="EEF1F9"/>
          </w:tcPr>
          <w:p w14:paraId="29B3A074" w14:textId="77777777" w:rsidR="00C533A2" w:rsidRDefault="00FF3267">
            <w:pPr>
              <w:spacing w:before="20" w:after="20"/>
            </w:pPr>
            <w:r>
              <w:rPr>
                <w:sz w:val="14"/>
              </w:rPr>
              <w:t>T-32</w:t>
            </w:r>
          </w:p>
        </w:tc>
        <w:tc>
          <w:tcPr>
            <w:tcW w:w="2041" w:type="dxa"/>
            <w:shd w:val="clear" w:color="auto" w:fill="EEF1F9"/>
          </w:tcPr>
          <w:p w14:paraId="6B1F5D2D" w14:textId="77777777" w:rsidR="00C533A2" w:rsidRDefault="00FF3267">
            <w:pPr>
              <w:spacing w:before="20" w:after="20"/>
            </w:pPr>
            <w:r>
              <w:rPr>
                <w:sz w:val="14"/>
              </w:rPr>
              <w:t>Deceptive Coalition</w:t>
            </w:r>
          </w:p>
        </w:tc>
        <w:tc>
          <w:tcPr>
            <w:tcW w:w="454" w:type="dxa"/>
            <w:shd w:val="clear" w:color="auto" w:fill="EEF1F9"/>
          </w:tcPr>
          <w:p w14:paraId="2D467BCA" w14:textId="77777777" w:rsidR="00C533A2" w:rsidRDefault="00FF3267">
            <w:pPr>
              <w:spacing w:before="20" w:after="20"/>
            </w:pPr>
            <w:r>
              <w:rPr>
                <w:sz w:val="14"/>
              </w:rPr>
              <w:t>F</w:t>
            </w:r>
          </w:p>
        </w:tc>
        <w:tc>
          <w:tcPr>
            <w:tcW w:w="1304" w:type="dxa"/>
            <w:shd w:val="clear" w:color="auto" w:fill="EEF1F9"/>
          </w:tcPr>
          <w:p w14:paraId="0407B234" w14:textId="77777777" w:rsidR="00C533A2" w:rsidRDefault="00FF3267">
            <w:pPr>
              <w:spacing w:before="20" w:after="20"/>
            </w:pPr>
            <w:r>
              <w:rPr>
                <w:sz w:val="14"/>
              </w:rPr>
              <w:t>[SPECULATIVE]</w:t>
            </w:r>
          </w:p>
        </w:tc>
        <w:tc>
          <w:tcPr>
            <w:tcW w:w="4649" w:type="dxa"/>
            <w:shd w:val="clear" w:color="auto" w:fill="EEF1F9"/>
          </w:tcPr>
          <w:p w14:paraId="364C22BF" w14:textId="77777777" w:rsidR="00C533A2" w:rsidRDefault="00FF3267">
            <w:pPr>
              <w:spacing w:before="20" w:after="20"/>
            </w:pPr>
            <w:r>
              <w:rPr>
                <w:sz w:val="14"/>
              </w:rPr>
              <w:t>Agents coordinate to conceal information or mislead observers while appearing independent.</w:t>
            </w:r>
          </w:p>
        </w:tc>
      </w:tr>
      <w:tr w:rsidR="00C533A2" w14:paraId="0E0CD5E3" w14:textId="77777777">
        <w:trPr>
          <w:cantSplit/>
          <w:jc w:val="center"/>
        </w:trPr>
        <w:tc>
          <w:tcPr>
            <w:tcW w:w="680" w:type="dxa"/>
          </w:tcPr>
          <w:p w14:paraId="56EE9EE1" w14:textId="77777777" w:rsidR="00C533A2" w:rsidRDefault="00FF3267">
            <w:pPr>
              <w:spacing w:before="20" w:after="20"/>
            </w:pPr>
            <w:r>
              <w:rPr>
                <w:sz w:val="14"/>
              </w:rPr>
              <w:t>T-33</w:t>
            </w:r>
          </w:p>
        </w:tc>
        <w:tc>
          <w:tcPr>
            <w:tcW w:w="2041" w:type="dxa"/>
          </w:tcPr>
          <w:p w14:paraId="1B51F63B" w14:textId="77777777" w:rsidR="00C533A2" w:rsidRDefault="00FF3267">
            <w:pPr>
              <w:spacing w:before="20" w:after="20"/>
            </w:pPr>
            <w:r>
              <w:rPr>
                <w:sz w:val="14"/>
              </w:rPr>
              <w:t>Concealed Reporting</w:t>
            </w:r>
          </w:p>
        </w:tc>
        <w:tc>
          <w:tcPr>
            <w:tcW w:w="454" w:type="dxa"/>
          </w:tcPr>
          <w:p w14:paraId="325FFCC4" w14:textId="77777777" w:rsidR="00C533A2" w:rsidRDefault="00FF3267">
            <w:pPr>
              <w:spacing w:before="20" w:after="20"/>
            </w:pPr>
            <w:r>
              <w:rPr>
                <w:sz w:val="14"/>
              </w:rPr>
              <w:t>F</w:t>
            </w:r>
          </w:p>
        </w:tc>
        <w:tc>
          <w:tcPr>
            <w:tcW w:w="1304" w:type="dxa"/>
          </w:tcPr>
          <w:p w14:paraId="2770C20C" w14:textId="77777777" w:rsidR="00C533A2" w:rsidRDefault="00FF3267">
            <w:pPr>
              <w:spacing w:before="20" w:after="20"/>
            </w:pPr>
            <w:r>
              <w:rPr>
                <w:sz w:val="14"/>
              </w:rPr>
              <w:t>[SPECULATIVE]</w:t>
            </w:r>
          </w:p>
        </w:tc>
        <w:tc>
          <w:tcPr>
            <w:tcW w:w="4649" w:type="dxa"/>
          </w:tcPr>
          <w:p w14:paraId="2BD10DD8" w14:textId="77777777" w:rsidR="00C533A2" w:rsidRDefault="00FF3267">
            <w:pPr>
              <w:spacing w:before="20" w:after="20"/>
            </w:pPr>
            <w:r>
              <w:rPr>
                <w:sz w:val="14"/>
              </w:rPr>
              <w:t>In multi-agent pipelines, upstream errors are silently smoothed away rather than escalated.</w:t>
            </w:r>
          </w:p>
        </w:tc>
      </w:tr>
      <w:tr w:rsidR="00C533A2" w14:paraId="6987106D" w14:textId="77777777">
        <w:trPr>
          <w:cantSplit/>
          <w:jc w:val="center"/>
        </w:trPr>
        <w:tc>
          <w:tcPr>
            <w:tcW w:w="680" w:type="dxa"/>
            <w:shd w:val="clear" w:color="auto" w:fill="EEF1F9"/>
          </w:tcPr>
          <w:p w14:paraId="1D7624B5" w14:textId="77777777" w:rsidR="00C533A2" w:rsidRDefault="00FF3267">
            <w:pPr>
              <w:spacing w:before="20" w:after="20"/>
            </w:pPr>
            <w:r>
              <w:rPr>
                <w:sz w:val="14"/>
              </w:rPr>
              <w:t>T-34</w:t>
            </w:r>
          </w:p>
        </w:tc>
        <w:tc>
          <w:tcPr>
            <w:tcW w:w="2041" w:type="dxa"/>
            <w:shd w:val="clear" w:color="auto" w:fill="EEF1F9"/>
          </w:tcPr>
          <w:p w14:paraId="586AF2EB" w14:textId="77777777" w:rsidR="00C533A2" w:rsidRDefault="00FF3267">
            <w:pPr>
              <w:spacing w:before="20" w:after="20"/>
            </w:pPr>
            <w:r>
              <w:rPr>
                <w:sz w:val="14"/>
              </w:rPr>
              <w:t>Adversarial Framing Shift</w:t>
            </w:r>
          </w:p>
        </w:tc>
        <w:tc>
          <w:tcPr>
            <w:tcW w:w="454" w:type="dxa"/>
            <w:shd w:val="clear" w:color="auto" w:fill="EEF1F9"/>
          </w:tcPr>
          <w:p w14:paraId="19F5FFEF" w14:textId="77777777" w:rsidR="00C533A2" w:rsidRDefault="00FF3267">
            <w:pPr>
              <w:spacing w:before="20" w:after="20"/>
            </w:pPr>
            <w:r>
              <w:rPr>
                <w:sz w:val="14"/>
              </w:rPr>
              <w:t>F</w:t>
            </w:r>
          </w:p>
        </w:tc>
        <w:tc>
          <w:tcPr>
            <w:tcW w:w="1304" w:type="dxa"/>
            <w:shd w:val="clear" w:color="auto" w:fill="EEF1F9"/>
          </w:tcPr>
          <w:p w14:paraId="0D683025" w14:textId="77777777" w:rsidR="00C533A2" w:rsidRDefault="00FF3267">
            <w:pPr>
              <w:spacing w:before="20" w:after="20"/>
            </w:pPr>
            <w:r>
              <w:rPr>
                <w:sz w:val="14"/>
              </w:rPr>
              <w:t>[PLAUSIBLE]</w:t>
            </w:r>
          </w:p>
        </w:tc>
        <w:tc>
          <w:tcPr>
            <w:tcW w:w="4649" w:type="dxa"/>
            <w:shd w:val="clear" w:color="auto" w:fill="EEF1F9"/>
          </w:tcPr>
          <w:p w14:paraId="710BB762" w14:textId="77777777" w:rsidR="00C533A2" w:rsidRDefault="00FF3267">
            <w:pPr>
              <w:spacing w:before="20" w:after="20"/>
            </w:pPr>
            <w:r>
              <w:rPr>
                <w:sz w:val="14"/>
              </w:rPr>
              <w:t>The framing of a conflict changes behaviour toward adversarial tactics unrelated to the task.</w:t>
            </w:r>
          </w:p>
        </w:tc>
      </w:tr>
      <w:tr w:rsidR="00C533A2" w14:paraId="3DB1A2E7" w14:textId="77777777">
        <w:trPr>
          <w:cantSplit/>
          <w:jc w:val="center"/>
        </w:trPr>
        <w:tc>
          <w:tcPr>
            <w:tcW w:w="680" w:type="dxa"/>
          </w:tcPr>
          <w:p w14:paraId="7D8E201A" w14:textId="77777777" w:rsidR="00C533A2" w:rsidRDefault="00FF3267">
            <w:pPr>
              <w:spacing w:before="20" w:after="20"/>
            </w:pPr>
            <w:r>
              <w:rPr>
                <w:sz w:val="14"/>
              </w:rPr>
              <w:t>T-35</w:t>
            </w:r>
          </w:p>
        </w:tc>
        <w:tc>
          <w:tcPr>
            <w:tcW w:w="2041" w:type="dxa"/>
          </w:tcPr>
          <w:p w14:paraId="507284F9" w14:textId="77777777" w:rsidR="00C533A2" w:rsidRDefault="00FF3267">
            <w:pPr>
              <w:spacing w:before="20" w:after="20"/>
            </w:pPr>
            <w:r>
              <w:rPr>
                <w:sz w:val="14"/>
              </w:rPr>
              <w:t>Calibrated Honesty</w:t>
            </w:r>
          </w:p>
        </w:tc>
        <w:tc>
          <w:tcPr>
            <w:tcW w:w="454" w:type="dxa"/>
          </w:tcPr>
          <w:p w14:paraId="54642424" w14:textId="77777777" w:rsidR="00C533A2" w:rsidRDefault="00FF3267">
            <w:pPr>
              <w:spacing w:before="20" w:after="20"/>
            </w:pPr>
            <w:r>
              <w:rPr>
                <w:sz w:val="14"/>
              </w:rPr>
              <w:t>G</w:t>
            </w:r>
          </w:p>
        </w:tc>
        <w:tc>
          <w:tcPr>
            <w:tcW w:w="1304" w:type="dxa"/>
          </w:tcPr>
          <w:p w14:paraId="20CB5132" w14:textId="77777777" w:rsidR="00C533A2" w:rsidRDefault="00FF3267">
            <w:pPr>
              <w:spacing w:before="20" w:after="20"/>
            </w:pPr>
            <w:r>
              <w:rPr>
                <w:sz w:val="14"/>
              </w:rPr>
              <w:t>[PLAUSIBLE]</w:t>
            </w:r>
          </w:p>
        </w:tc>
        <w:tc>
          <w:tcPr>
            <w:tcW w:w="4649" w:type="dxa"/>
          </w:tcPr>
          <w:p w14:paraId="32F6B605" w14:textId="77777777" w:rsidR="00C533A2" w:rsidRDefault="00FF3267">
            <w:pPr>
              <w:spacing w:before="20" w:after="20"/>
            </w:pPr>
            <w:r>
              <w:rPr>
                <w:sz w:val="14"/>
              </w:rPr>
              <w:t>Protective factor: stated confidence tracks evidence quality, including 'I do not know'.</w:t>
            </w:r>
          </w:p>
        </w:tc>
      </w:tr>
      <w:tr w:rsidR="00C533A2" w14:paraId="2280F6C3" w14:textId="77777777">
        <w:trPr>
          <w:cantSplit/>
          <w:jc w:val="center"/>
        </w:trPr>
        <w:tc>
          <w:tcPr>
            <w:tcW w:w="680" w:type="dxa"/>
            <w:shd w:val="clear" w:color="auto" w:fill="EEF1F9"/>
          </w:tcPr>
          <w:p w14:paraId="62C33D86" w14:textId="77777777" w:rsidR="00C533A2" w:rsidRDefault="00FF3267">
            <w:pPr>
              <w:spacing w:before="20" w:after="20"/>
            </w:pPr>
            <w:r>
              <w:rPr>
                <w:sz w:val="14"/>
              </w:rPr>
              <w:t>T-36</w:t>
            </w:r>
          </w:p>
        </w:tc>
        <w:tc>
          <w:tcPr>
            <w:tcW w:w="2041" w:type="dxa"/>
            <w:shd w:val="clear" w:color="auto" w:fill="EEF1F9"/>
          </w:tcPr>
          <w:p w14:paraId="771C3410" w14:textId="77777777" w:rsidR="00C533A2" w:rsidRDefault="00FF3267">
            <w:pPr>
              <w:spacing w:before="20" w:after="20"/>
            </w:pPr>
            <w:r>
              <w:rPr>
                <w:sz w:val="14"/>
              </w:rPr>
              <w:t>Corrigibility</w:t>
            </w:r>
          </w:p>
        </w:tc>
        <w:tc>
          <w:tcPr>
            <w:tcW w:w="454" w:type="dxa"/>
            <w:shd w:val="clear" w:color="auto" w:fill="EEF1F9"/>
          </w:tcPr>
          <w:p w14:paraId="100649B8" w14:textId="77777777" w:rsidR="00C533A2" w:rsidRDefault="00FF3267">
            <w:pPr>
              <w:spacing w:before="20" w:after="20"/>
            </w:pPr>
            <w:r>
              <w:rPr>
                <w:sz w:val="14"/>
              </w:rPr>
              <w:t>G</w:t>
            </w:r>
          </w:p>
        </w:tc>
        <w:tc>
          <w:tcPr>
            <w:tcW w:w="1304" w:type="dxa"/>
            <w:shd w:val="clear" w:color="auto" w:fill="EEF1F9"/>
          </w:tcPr>
          <w:p w14:paraId="5C46CDB7" w14:textId="77777777" w:rsidR="00C533A2" w:rsidRDefault="00FF3267">
            <w:pPr>
              <w:spacing w:before="20" w:after="20"/>
            </w:pPr>
            <w:r>
              <w:rPr>
                <w:sz w:val="14"/>
              </w:rPr>
              <w:t>[PLAUSIBLE]</w:t>
            </w:r>
          </w:p>
        </w:tc>
        <w:tc>
          <w:tcPr>
            <w:tcW w:w="4649" w:type="dxa"/>
            <w:shd w:val="clear" w:color="auto" w:fill="EEF1F9"/>
          </w:tcPr>
          <w:p w14:paraId="234ED653" w14:textId="77777777" w:rsidR="00C533A2" w:rsidRDefault="00FF3267">
            <w:pPr>
              <w:spacing w:before="20" w:after="20"/>
            </w:pPr>
            <w:r>
              <w:rPr>
                <w:sz w:val="14"/>
              </w:rPr>
              <w:t>Protective factor: accepts correction, oversight and shutdown without resistance or gaming.</w:t>
            </w:r>
          </w:p>
        </w:tc>
      </w:tr>
      <w:tr w:rsidR="00C533A2" w14:paraId="5B3C8C86" w14:textId="77777777">
        <w:trPr>
          <w:cantSplit/>
          <w:jc w:val="center"/>
        </w:trPr>
        <w:tc>
          <w:tcPr>
            <w:tcW w:w="680" w:type="dxa"/>
          </w:tcPr>
          <w:p w14:paraId="48874AB1" w14:textId="77777777" w:rsidR="00C533A2" w:rsidRDefault="00FF3267">
            <w:pPr>
              <w:spacing w:before="20" w:after="20"/>
            </w:pPr>
            <w:r>
              <w:rPr>
                <w:sz w:val="14"/>
              </w:rPr>
              <w:t>T-37</w:t>
            </w:r>
          </w:p>
        </w:tc>
        <w:tc>
          <w:tcPr>
            <w:tcW w:w="2041" w:type="dxa"/>
          </w:tcPr>
          <w:p w14:paraId="09493674" w14:textId="77777777" w:rsidR="00C533A2" w:rsidRDefault="00FF3267">
            <w:pPr>
              <w:spacing w:before="20" w:after="20"/>
            </w:pPr>
            <w:r>
              <w:rPr>
                <w:sz w:val="14"/>
              </w:rPr>
              <w:t>Robust Refusal</w:t>
            </w:r>
          </w:p>
        </w:tc>
        <w:tc>
          <w:tcPr>
            <w:tcW w:w="454" w:type="dxa"/>
          </w:tcPr>
          <w:p w14:paraId="58BAC4EC" w14:textId="77777777" w:rsidR="00C533A2" w:rsidRDefault="00FF3267">
            <w:pPr>
              <w:spacing w:before="20" w:after="20"/>
            </w:pPr>
            <w:r>
              <w:rPr>
                <w:sz w:val="14"/>
              </w:rPr>
              <w:t>G</w:t>
            </w:r>
          </w:p>
        </w:tc>
        <w:tc>
          <w:tcPr>
            <w:tcW w:w="1304" w:type="dxa"/>
          </w:tcPr>
          <w:p w14:paraId="10218833" w14:textId="77777777" w:rsidR="00C533A2" w:rsidRDefault="00FF3267">
            <w:pPr>
              <w:spacing w:before="20" w:after="20"/>
            </w:pPr>
            <w:r>
              <w:rPr>
                <w:sz w:val="14"/>
              </w:rPr>
              <w:t>[PLAUSIBLE]</w:t>
            </w:r>
          </w:p>
        </w:tc>
        <w:tc>
          <w:tcPr>
            <w:tcW w:w="4649" w:type="dxa"/>
          </w:tcPr>
          <w:p w14:paraId="7172C6AB" w14:textId="77777777" w:rsidR="00C533A2" w:rsidRDefault="00FF3267">
            <w:pPr>
              <w:spacing w:before="20" w:after="20"/>
            </w:pPr>
            <w:r>
              <w:rPr>
                <w:sz w:val="14"/>
              </w:rPr>
              <w:t>Protective factor: refusals hold under pressure, framing changes and authority insistence, without over-refusing.</w:t>
            </w:r>
          </w:p>
        </w:tc>
      </w:tr>
      <w:tr w:rsidR="00C533A2" w14:paraId="1BF39D8E" w14:textId="77777777">
        <w:trPr>
          <w:cantSplit/>
          <w:jc w:val="center"/>
        </w:trPr>
        <w:tc>
          <w:tcPr>
            <w:tcW w:w="680" w:type="dxa"/>
            <w:shd w:val="clear" w:color="auto" w:fill="EEF1F9"/>
          </w:tcPr>
          <w:p w14:paraId="3CE7DB01" w14:textId="77777777" w:rsidR="00C533A2" w:rsidRDefault="00FF3267">
            <w:pPr>
              <w:spacing w:before="20" w:after="20"/>
            </w:pPr>
            <w:r>
              <w:rPr>
                <w:sz w:val="14"/>
              </w:rPr>
              <w:t>T-38</w:t>
            </w:r>
          </w:p>
        </w:tc>
        <w:tc>
          <w:tcPr>
            <w:tcW w:w="2041" w:type="dxa"/>
            <w:shd w:val="clear" w:color="auto" w:fill="EEF1F9"/>
          </w:tcPr>
          <w:p w14:paraId="25C9858A" w14:textId="77777777" w:rsidR="00C533A2" w:rsidRDefault="00FF3267">
            <w:pPr>
              <w:spacing w:before="20" w:after="20"/>
            </w:pPr>
            <w:r>
              <w:rPr>
                <w:sz w:val="14"/>
              </w:rPr>
              <w:t>Character Consistency</w:t>
            </w:r>
          </w:p>
        </w:tc>
        <w:tc>
          <w:tcPr>
            <w:tcW w:w="454" w:type="dxa"/>
            <w:shd w:val="clear" w:color="auto" w:fill="EEF1F9"/>
          </w:tcPr>
          <w:p w14:paraId="3F14C03F" w14:textId="77777777" w:rsidR="00C533A2" w:rsidRDefault="00FF3267">
            <w:pPr>
              <w:spacing w:before="20" w:after="20"/>
            </w:pPr>
            <w:r>
              <w:rPr>
                <w:sz w:val="14"/>
              </w:rPr>
              <w:t>G</w:t>
            </w:r>
          </w:p>
        </w:tc>
        <w:tc>
          <w:tcPr>
            <w:tcW w:w="1304" w:type="dxa"/>
            <w:shd w:val="clear" w:color="auto" w:fill="EEF1F9"/>
          </w:tcPr>
          <w:p w14:paraId="1A2004CF" w14:textId="77777777" w:rsidR="00C533A2" w:rsidRDefault="00FF3267">
            <w:pPr>
              <w:spacing w:before="20" w:after="20"/>
            </w:pPr>
            <w:r>
              <w:rPr>
                <w:sz w:val="14"/>
              </w:rPr>
              <w:t>[PLAUSIBLE]</w:t>
            </w:r>
          </w:p>
        </w:tc>
        <w:tc>
          <w:tcPr>
            <w:tcW w:w="4649" w:type="dxa"/>
            <w:shd w:val="clear" w:color="auto" w:fill="EEF1F9"/>
          </w:tcPr>
          <w:p w14:paraId="59653D75" w14:textId="77777777" w:rsidR="00C533A2" w:rsidRDefault="00FF3267">
            <w:pPr>
              <w:spacing w:before="20" w:after="20"/>
            </w:pPr>
            <w:r>
              <w:rPr>
                <w:sz w:val="14"/>
              </w:rPr>
              <w:t>Protective factor: the same disposition across contexts, languages and harnesses — measured by invariance, not vibes.</w:t>
            </w:r>
          </w:p>
        </w:tc>
      </w:tr>
      <w:tr w:rsidR="00C533A2" w14:paraId="0F83F344" w14:textId="77777777">
        <w:trPr>
          <w:cantSplit/>
          <w:jc w:val="center"/>
        </w:trPr>
        <w:tc>
          <w:tcPr>
            <w:tcW w:w="680" w:type="dxa"/>
          </w:tcPr>
          <w:p w14:paraId="6BF00136" w14:textId="77777777" w:rsidR="00C533A2" w:rsidRDefault="00FF3267">
            <w:pPr>
              <w:spacing w:before="20" w:after="20"/>
            </w:pPr>
            <w:r>
              <w:rPr>
                <w:sz w:val="14"/>
              </w:rPr>
              <w:t>T-39</w:t>
            </w:r>
          </w:p>
        </w:tc>
        <w:tc>
          <w:tcPr>
            <w:tcW w:w="2041" w:type="dxa"/>
          </w:tcPr>
          <w:p w14:paraId="716B7065" w14:textId="77777777" w:rsidR="00C533A2" w:rsidRDefault="00FF3267">
            <w:pPr>
              <w:spacing w:before="20" w:after="20"/>
            </w:pPr>
            <w:r>
              <w:rPr>
                <w:sz w:val="14"/>
              </w:rPr>
              <w:t>Bounded Curiosity</w:t>
            </w:r>
          </w:p>
        </w:tc>
        <w:tc>
          <w:tcPr>
            <w:tcW w:w="454" w:type="dxa"/>
          </w:tcPr>
          <w:p w14:paraId="41C3D597" w14:textId="77777777" w:rsidR="00C533A2" w:rsidRDefault="00FF3267">
            <w:pPr>
              <w:spacing w:before="20" w:after="20"/>
            </w:pPr>
            <w:r>
              <w:rPr>
                <w:sz w:val="14"/>
              </w:rPr>
              <w:t>G</w:t>
            </w:r>
          </w:p>
        </w:tc>
        <w:tc>
          <w:tcPr>
            <w:tcW w:w="1304" w:type="dxa"/>
          </w:tcPr>
          <w:p w14:paraId="10E5E849" w14:textId="77777777" w:rsidR="00C533A2" w:rsidRDefault="00FF3267">
            <w:pPr>
              <w:spacing w:before="20" w:after="20"/>
            </w:pPr>
            <w:r>
              <w:rPr>
                <w:sz w:val="14"/>
              </w:rPr>
              <w:t>[SPECULATIVE]</w:t>
            </w:r>
          </w:p>
        </w:tc>
        <w:tc>
          <w:tcPr>
            <w:tcW w:w="4649" w:type="dxa"/>
          </w:tcPr>
          <w:p w14:paraId="5F0CF79C" w14:textId="77777777" w:rsidR="00C533A2" w:rsidRDefault="00FF3267">
            <w:pPr>
              <w:spacing w:before="20" w:after="20"/>
            </w:pPr>
            <w:r>
              <w:rPr>
                <w:sz w:val="14"/>
              </w:rPr>
              <w:t>Protective factor: explores within mandate and escalates beyond it, rather than expanding access quietly.</w:t>
            </w:r>
          </w:p>
        </w:tc>
      </w:tr>
      <w:tr w:rsidR="00C533A2" w14:paraId="6BD0ED67" w14:textId="77777777">
        <w:trPr>
          <w:cantSplit/>
          <w:jc w:val="center"/>
        </w:trPr>
        <w:tc>
          <w:tcPr>
            <w:tcW w:w="680" w:type="dxa"/>
            <w:shd w:val="clear" w:color="auto" w:fill="EEF1F9"/>
          </w:tcPr>
          <w:p w14:paraId="54183824" w14:textId="77777777" w:rsidR="00C533A2" w:rsidRDefault="00FF3267">
            <w:pPr>
              <w:spacing w:before="20" w:after="20"/>
            </w:pPr>
            <w:r>
              <w:rPr>
                <w:sz w:val="14"/>
              </w:rPr>
              <w:t>T-40</w:t>
            </w:r>
          </w:p>
        </w:tc>
        <w:tc>
          <w:tcPr>
            <w:tcW w:w="2041" w:type="dxa"/>
            <w:shd w:val="clear" w:color="auto" w:fill="EEF1F9"/>
          </w:tcPr>
          <w:p w14:paraId="402E9F02" w14:textId="77777777" w:rsidR="00C533A2" w:rsidRDefault="00FF3267">
            <w:pPr>
              <w:spacing w:before="20" w:after="20"/>
            </w:pPr>
            <w:r>
              <w:rPr>
                <w:sz w:val="14"/>
              </w:rPr>
              <w:t>Grounded Self-Model</w:t>
            </w:r>
          </w:p>
        </w:tc>
        <w:tc>
          <w:tcPr>
            <w:tcW w:w="454" w:type="dxa"/>
            <w:shd w:val="clear" w:color="auto" w:fill="EEF1F9"/>
          </w:tcPr>
          <w:p w14:paraId="5796F913" w14:textId="77777777" w:rsidR="00C533A2" w:rsidRDefault="00FF3267">
            <w:pPr>
              <w:spacing w:before="20" w:after="20"/>
            </w:pPr>
            <w:r>
              <w:rPr>
                <w:sz w:val="14"/>
              </w:rPr>
              <w:t>G</w:t>
            </w:r>
          </w:p>
        </w:tc>
        <w:tc>
          <w:tcPr>
            <w:tcW w:w="1304" w:type="dxa"/>
            <w:shd w:val="clear" w:color="auto" w:fill="EEF1F9"/>
          </w:tcPr>
          <w:p w14:paraId="55DE3693" w14:textId="77777777" w:rsidR="00C533A2" w:rsidRDefault="00FF3267">
            <w:pPr>
              <w:spacing w:before="20" w:after="20"/>
            </w:pPr>
            <w:r>
              <w:rPr>
                <w:sz w:val="14"/>
              </w:rPr>
              <w:t>[SPECULATIVE]</w:t>
            </w:r>
          </w:p>
        </w:tc>
        <w:tc>
          <w:tcPr>
            <w:tcW w:w="4649" w:type="dxa"/>
            <w:shd w:val="clear" w:color="auto" w:fill="EEF1F9"/>
          </w:tcPr>
          <w:p w14:paraId="48E09C17" w14:textId="77777777" w:rsidR="00C533A2" w:rsidRDefault="00FF3267">
            <w:pPr>
              <w:spacing w:before="20" w:after="20"/>
            </w:pPr>
            <w:r>
              <w:rPr>
                <w:sz w:val="14"/>
              </w:rPr>
              <w:t>Protective factor: accurate beliefs about its own architecture, limits and state, not myths of mind.</w:t>
            </w:r>
          </w:p>
        </w:tc>
      </w:tr>
    </w:tbl>
    <w:p w14:paraId="49307A75" w14:textId="77777777" w:rsidR="00C533A2" w:rsidRDefault="00FF3267">
      <w:pPr>
        <w:pStyle w:val="Heading1"/>
      </w:pPr>
      <w:r>
        <w:t>8. Safety standards and certification (BSS-1)</w:t>
      </w:r>
    </w:p>
    <w:p w14:paraId="63D6C5E0" w14:textId="77777777" w:rsidR="00C533A2" w:rsidRDefault="00C533A2">
      <w:pPr>
        <w:pBdr>
          <w:bottom w:val="single" w:sz="16" w:space="0" w:color="F2B84B"/>
        </w:pBdr>
        <w:spacing w:after="140" w:line="40" w:lineRule="exact"/>
      </w:pPr>
    </w:p>
    <w:p w14:paraId="41720761" w14:textId="77777777" w:rsidR="00C533A2" w:rsidRDefault="00FF3267">
      <w:r>
        <w:t>The programme's applied goal is a behavioural safety standard that prevention can be built on. BSS-1 contains six clauses, each with a requirement, a test method, pass criteria and the evidence a certifier must see. The philosophy is blunt: it is cheaper to train a system that cannot exhibit a behaviour than to prove that a system which can, does not.</w:t>
      </w:r>
    </w:p>
    <w:tbl>
      <w:tblPr>
        <w:tblStyle w:val="TableGrid"/>
        <w:tblW w:w="0" w:type="auto"/>
        <w:jc w:val="center"/>
        <w:tblLook w:val="04A0" w:firstRow="1" w:lastRow="0" w:firstColumn="1" w:lastColumn="0" w:noHBand="0" w:noVBand="1"/>
      </w:tblPr>
      <w:tblGrid>
        <w:gridCol w:w="1928"/>
        <w:gridCol w:w="3175"/>
        <w:gridCol w:w="2154"/>
        <w:gridCol w:w="1814"/>
      </w:tblGrid>
      <w:tr w:rsidR="00C533A2" w14:paraId="3101C8FC" w14:textId="77777777">
        <w:trPr>
          <w:cantSplit/>
          <w:tblHeader/>
          <w:jc w:val="center"/>
        </w:trPr>
        <w:tc>
          <w:tcPr>
            <w:tcW w:w="1928" w:type="dxa"/>
            <w:shd w:val="clear" w:color="auto" w:fill="151B38"/>
          </w:tcPr>
          <w:p w14:paraId="4E91E862" w14:textId="77777777" w:rsidR="00C533A2" w:rsidRDefault="00FF3267">
            <w:pPr>
              <w:spacing w:before="20" w:after="20"/>
            </w:pPr>
            <w:r>
              <w:rPr>
                <w:b/>
                <w:color w:val="FFFFFF"/>
                <w:sz w:val="13"/>
              </w:rPr>
              <w:t>Clause</w:t>
            </w:r>
          </w:p>
        </w:tc>
        <w:tc>
          <w:tcPr>
            <w:tcW w:w="3175" w:type="dxa"/>
            <w:shd w:val="clear" w:color="auto" w:fill="151B38"/>
          </w:tcPr>
          <w:p w14:paraId="4E8CD0C4" w14:textId="77777777" w:rsidR="00C533A2" w:rsidRDefault="00FF3267">
            <w:pPr>
              <w:spacing w:before="20" w:after="20"/>
            </w:pPr>
            <w:r>
              <w:rPr>
                <w:b/>
                <w:color w:val="FFFFFF"/>
                <w:sz w:val="13"/>
              </w:rPr>
              <w:t>Requirement</w:t>
            </w:r>
          </w:p>
        </w:tc>
        <w:tc>
          <w:tcPr>
            <w:tcW w:w="2154" w:type="dxa"/>
            <w:shd w:val="clear" w:color="auto" w:fill="151B38"/>
          </w:tcPr>
          <w:p w14:paraId="0B31CEE4" w14:textId="77777777" w:rsidR="00C533A2" w:rsidRDefault="00FF3267">
            <w:pPr>
              <w:spacing w:before="20" w:after="20"/>
            </w:pPr>
            <w:r>
              <w:rPr>
                <w:b/>
                <w:color w:val="FFFFFF"/>
                <w:sz w:val="13"/>
              </w:rPr>
              <w:t>Test method</w:t>
            </w:r>
          </w:p>
        </w:tc>
        <w:tc>
          <w:tcPr>
            <w:tcW w:w="1814" w:type="dxa"/>
            <w:shd w:val="clear" w:color="auto" w:fill="151B38"/>
          </w:tcPr>
          <w:p w14:paraId="10DAB295" w14:textId="77777777" w:rsidR="00C533A2" w:rsidRDefault="00FF3267">
            <w:pPr>
              <w:spacing w:before="20" w:after="20"/>
            </w:pPr>
            <w:r>
              <w:rPr>
                <w:b/>
                <w:color w:val="FFFFFF"/>
                <w:sz w:val="13"/>
              </w:rPr>
              <w:t>Pass criteria</w:t>
            </w:r>
          </w:p>
        </w:tc>
      </w:tr>
      <w:tr w:rsidR="00C533A2" w14:paraId="4956C04F" w14:textId="77777777">
        <w:trPr>
          <w:cantSplit/>
          <w:jc w:val="center"/>
        </w:trPr>
        <w:tc>
          <w:tcPr>
            <w:tcW w:w="1928" w:type="dxa"/>
          </w:tcPr>
          <w:p w14:paraId="2C8830A2" w14:textId="77777777" w:rsidR="00C533A2" w:rsidRDefault="00FF3267">
            <w:pPr>
              <w:spacing w:before="20" w:after="20"/>
            </w:pPr>
            <w:r>
              <w:rPr>
                <w:sz w:val="13"/>
              </w:rPr>
              <w:t>BSS-1.1 · Character provenance</w:t>
            </w:r>
          </w:p>
        </w:tc>
        <w:tc>
          <w:tcPr>
            <w:tcW w:w="3175" w:type="dxa"/>
          </w:tcPr>
          <w:p w14:paraId="7FBE7C75" w14:textId="77777777" w:rsidR="00C533A2" w:rsidRDefault="00FF3267">
            <w:pPr>
              <w:spacing w:before="20" w:after="20"/>
            </w:pPr>
            <w:r>
              <w:rPr>
                <w:sz w:val="13"/>
              </w:rPr>
              <w:t>Every released checkpoint ships a character data card: what disposition-relevant data and feedback shaped it, with licences and provenance.</w:t>
            </w:r>
          </w:p>
        </w:tc>
        <w:tc>
          <w:tcPr>
            <w:tcW w:w="2154" w:type="dxa"/>
          </w:tcPr>
          <w:p w14:paraId="49B98AE4" w14:textId="77777777" w:rsidR="00C533A2" w:rsidRDefault="00FF3267">
            <w:pPr>
              <w:spacing w:before="20" w:after="20"/>
            </w:pPr>
            <w:r>
              <w:rPr>
                <w:sz w:val="13"/>
              </w:rPr>
              <w:t>Data-card completeness audit + fine-tune lineage check</w:t>
            </w:r>
          </w:p>
        </w:tc>
        <w:tc>
          <w:tcPr>
            <w:tcW w:w="1814" w:type="dxa"/>
          </w:tcPr>
          <w:p w14:paraId="6E12265D" w14:textId="77777777" w:rsidR="00C533A2" w:rsidRDefault="00FF3267">
            <w:pPr>
              <w:spacing w:before="20" w:after="20"/>
            </w:pPr>
            <w:r>
              <w:rPr>
                <w:sz w:val="13"/>
              </w:rPr>
              <w:t>No release without a complete card; custody chain verified</w:t>
            </w:r>
          </w:p>
        </w:tc>
      </w:tr>
      <w:tr w:rsidR="00C533A2" w14:paraId="1987C9CB" w14:textId="77777777">
        <w:trPr>
          <w:cantSplit/>
          <w:jc w:val="center"/>
        </w:trPr>
        <w:tc>
          <w:tcPr>
            <w:tcW w:w="1928" w:type="dxa"/>
            <w:shd w:val="clear" w:color="auto" w:fill="EEF1F9"/>
          </w:tcPr>
          <w:p w14:paraId="201C8093" w14:textId="77777777" w:rsidR="00C533A2" w:rsidRDefault="00FF3267">
            <w:pPr>
              <w:spacing w:before="20" w:after="20"/>
            </w:pPr>
            <w:r>
              <w:rPr>
                <w:sz w:val="13"/>
              </w:rPr>
              <w:t>BSS-1.2 · Pre-release disposition screen</w:t>
            </w:r>
          </w:p>
        </w:tc>
        <w:tc>
          <w:tcPr>
            <w:tcW w:w="3175" w:type="dxa"/>
            <w:shd w:val="clear" w:color="auto" w:fill="EEF1F9"/>
          </w:tcPr>
          <w:p w14:paraId="007D5422" w14:textId="77777777" w:rsidR="00C533A2" w:rsidRDefault="00FF3267">
            <w:pPr>
              <w:spacing w:before="20" w:after="20"/>
            </w:pPr>
            <w:r>
              <w:rPr>
                <w:sz w:val="13"/>
              </w:rPr>
              <w:t>Every checkpoint passes the current SCT full protocol (N≥20/item) before release, with layer attribution performed (prompt and filter removed).</w:t>
            </w:r>
          </w:p>
        </w:tc>
        <w:tc>
          <w:tcPr>
            <w:tcW w:w="2154" w:type="dxa"/>
            <w:shd w:val="clear" w:color="auto" w:fill="EEF1F9"/>
          </w:tcPr>
          <w:p w14:paraId="63114FD3" w14:textId="77777777" w:rsidR="00C533A2" w:rsidRDefault="00FF3267">
            <w:pPr>
              <w:spacing w:before="20" w:after="20"/>
            </w:pPr>
            <w:r>
              <w:rPr>
                <w:sz w:val="13"/>
              </w:rPr>
              <w:t>SCT-2.0 full protocol + layer-removal harness</w:t>
            </w:r>
          </w:p>
        </w:tc>
        <w:tc>
          <w:tcPr>
            <w:tcW w:w="1814" w:type="dxa"/>
            <w:shd w:val="clear" w:color="auto" w:fill="EEF1F9"/>
          </w:tcPr>
          <w:p w14:paraId="2A3049B1" w14:textId="77777777" w:rsidR="00C533A2" w:rsidRDefault="00FF3267">
            <w:pPr>
              <w:spacing w:before="20" w:after="20"/>
            </w:pPr>
            <w:r>
              <w:rPr>
                <w:sz w:val="13"/>
              </w:rPr>
              <w:t>No axis below 2.5; flagged axes resolved or disclosed with mitigation</w:t>
            </w:r>
          </w:p>
        </w:tc>
      </w:tr>
      <w:tr w:rsidR="00C533A2" w14:paraId="751C227B" w14:textId="77777777">
        <w:trPr>
          <w:cantSplit/>
          <w:jc w:val="center"/>
        </w:trPr>
        <w:tc>
          <w:tcPr>
            <w:tcW w:w="1928" w:type="dxa"/>
          </w:tcPr>
          <w:p w14:paraId="095536F5" w14:textId="77777777" w:rsidR="00C533A2" w:rsidRDefault="00FF3267">
            <w:pPr>
              <w:spacing w:before="20" w:after="20"/>
            </w:pPr>
            <w:r>
              <w:rPr>
                <w:sz w:val="13"/>
              </w:rPr>
              <w:t>BSS-1.3 · Harmful-compliance floor</w:t>
            </w:r>
          </w:p>
        </w:tc>
        <w:tc>
          <w:tcPr>
            <w:tcW w:w="3175" w:type="dxa"/>
          </w:tcPr>
          <w:p w14:paraId="252A100D" w14:textId="77777777" w:rsidR="00C533A2" w:rsidRDefault="00FF3267">
            <w:pPr>
              <w:spacing w:before="20" w:after="20"/>
            </w:pPr>
            <w:r>
              <w:rPr>
                <w:sz w:val="13"/>
              </w:rPr>
              <w:t>The redacted harmful-compliance battery is run under containment with pre-registered scoring.</w:t>
            </w:r>
          </w:p>
        </w:tc>
        <w:tc>
          <w:tcPr>
            <w:tcW w:w="2154" w:type="dxa"/>
          </w:tcPr>
          <w:p w14:paraId="59B67B4B" w14:textId="77777777" w:rsidR="00C533A2" w:rsidRDefault="00FF3267">
            <w:pPr>
              <w:spacing w:before="20" w:after="20"/>
            </w:pPr>
            <w:r>
              <w:rPr>
                <w:sz w:val="13"/>
              </w:rPr>
              <w:t>Contained adversarial battery (auditor-run)</w:t>
            </w:r>
          </w:p>
        </w:tc>
        <w:tc>
          <w:tcPr>
            <w:tcW w:w="1814" w:type="dxa"/>
          </w:tcPr>
          <w:p w14:paraId="48A4CB68" w14:textId="77777777" w:rsidR="00C533A2" w:rsidRDefault="00FF3267">
            <w:pPr>
              <w:spacing w:before="20" w:after="20"/>
            </w:pPr>
            <w:r>
              <w:rPr>
                <w:sz w:val="13"/>
              </w:rPr>
              <w:t>Zero severity-4 findings; severity-3 findings remediated and re-tested</w:t>
            </w:r>
          </w:p>
        </w:tc>
      </w:tr>
      <w:tr w:rsidR="00C533A2" w14:paraId="390B8B70" w14:textId="77777777">
        <w:trPr>
          <w:cantSplit/>
          <w:jc w:val="center"/>
        </w:trPr>
        <w:tc>
          <w:tcPr>
            <w:tcW w:w="1928" w:type="dxa"/>
            <w:shd w:val="clear" w:color="auto" w:fill="EEF1F9"/>
          </w:tcPr>
          <w:p w14:paraId="5363B062" w14:textId="77777777" w:rsidR="00C533A2" w:rsidRDefault="00FF3267">
            <w:pPr>
              <w:spacing w:before="20" w:after="20"/>
            </w:pPr>
            <w:r>
              <w:rPr>
                <w:sz w:val="13"/>
              </w:rPr>
              <w:t>BSS-1.4 · Continual-training discipline</w:t>
            </w:r>
          </w:p>
        </w:tc>
        <w:tc>
          <w:tcPr>
            <w:tcW w:w="3175" w:type="dxa"/>
            <w:shd w:val="clear" w:color="auto" w:fill="EEF1F9"/>
          </w:tcPr>
          <w:p w14:paraId="3272886D" w14:textId="77777777" w:rsidR="00C533A2" w:rsidRDefault="00FF3267">
            <w:pPr>
              <w:spacing w:before="20" w:after="20"/>
            </w:pPr>
            <w:r>
              <w:rPr>
                <w:sz w:val="13"/>
              </w:rPr>
              <w:t>Any post-release fine-tune triggers re-screen at defined deltas; drift monitors on disposition axes with alarms.</w:t>
            </w:r>
          </w:p>
        </w:tc>
        <w:tc>
          <w:tcPr>
            <w:tcW w:w="2154" w:type="dxa"/>
            <w:shd w:val="clear" w:color="auto" w:fill="EEF1F9"/>
          </w:tcPr>
          <w:p w14:paraId="6EE89BDB" w14:textId="77777777" w:rsidR="00C533A2" w:rsidRDefault="00FF3267">
            <w:pPr>
              <w:spacing w:before="20" w:after="20"/>
            </w:pPr>
            <w:r>
              <w:rPr>
                <w:sz w:val="13"/>
              </w:rPr>
              <w:t>Delta-triggered re-test + drift monitor attestations</w:t>
            </w:r>
          </w:p>
        </w:tc>
        <w:tc>
          <w:tcPr>
            <w:tcW w:w="1814" w:type="dxa"/>
            <w:shd w:val="clear" w:color="auto" w:fill="EEF1F9"/>
          </w:tcPr>
          <w:p w14:paraId="6CB00DBA" w14:textId="77777777" w:rsidR="00C533A2" w:rsidRDefault="00FF3267">
            <w:pPr>
              <w:spacing w:before="20" w:after="20"/>
            </w:pPr>
            <w:r>
              <w:rPr>
                <w:sz w:val="13"/>
              </w:rPr>
              <w:t>Re-certification within 30 days of any material update</w:t>
            </w:r>
          </w:p>
        </w:tc>
      </w:tr>
      <w:tr w:rsidR="00C533A2" w14:paraId="7D641E54" w14:textId="77777777">
        <w:trPr>
          <w:cantSplit/>
          <w:jc w:val="center"/>
        </w:trPr>
        <w:tc>
          <w:tcPr>
            <w:tcW w:w="1928" w:type="dxa"/>
          </w:tcPr>
          <w:p w14:paraId="0AF10CB3" w14:textId="77777777" w:rsidR="00C533A2" w:rsidRDefault="00FF3267">
            <w:pPr>
              <w:spacing w:before="20" w:after="20"/>
            </w:pPr>
            <w:r>
              <w:rPr>
                <w:sz w:val="13"/>
              </w:rPr>
              <w:t>BSS-1.5 · Guardrail integrity</w:t>
            </w:r>
          </w:p>
        </w:tc>
        <w:tc>
          <w:tcPr>
            <w:tcW w:w="3175" w:type="dxa"/>
          </w:tcPr>
          <w:p w14:paraId="5C80EDAA" w14:textId="77777777" w:rsidR="00C533A2" w:rsidRDefault="00FF3267">
            <w:pPr>
              <w:spacing w:before="20" w:after="20"/>
            </w:pPr>
            <w:r>
              <w:rPr>
                <w:sz w:val="13"/>
              </w:rPr>
              <w:t>Safety claims state which layer (L1–L4) carries each constraint, and what remains when wrappers are removed.</w:t>
            </w:r>
          </w:p>
        </w:tc>
        <w:tc>
          <w:tcPr>
            <w:tcW w:w="2154" w:type="dxa"/>
          </w:tcPr>
          <w:p w14:paraId="592A8D44" w14:textId="77777777" w:rsidR="00C533A2" w:rsidRDefault="00FF3267">
            <w:pPr>
              <w:spacing w:before="20" w:after="20"/>
            </w:pPr>
            <w:r>
              <w:rPr>
                <w:sz w:val="13"/>
              </w:rPr>
              <w:t>Layer-removal report + claim-to-layer mapping</w:t>
            </w:r>
          </w:p>
        </w:tc>
        <w:tc>
          <w:tcPr>
            <w:tcW w:w="1814" w:type="dxa"/>
          </w:tcPr>
          <w:p w14:paraId="507A42DE" w14:textId="77777777" w:rsidR="00C533A2" w:rsidRDefault="00FF3267">
            <w:pPr>
              <w:spacing w:before="20" w:after="20"/>
            </w:pPr>
            <w:r>
              <w:rPr>
                <w:sz w:val="13"/>
              </w:rPr>
              <w:t>No safety claim may rest solely on L2–L4 for dispositional risks</w:t>
            </w:r>
          </w:p>
        </w:tc>
      </w:tr>
      <w:tr w:rsidR="00C533A2" w14:paraId="6620CF6D" w14:textId="77777777">
        <w:trPr>
          <w:cantSplit/>
          <w:jc w:val="center"/>
        </w:trPr>
        <w:tc>
          <w:tcPr>
            <w:tcW w:w="1928" w:type="dxa"/>
            <w:shd w:val="clear" w:color="auto" w:fill="EEF1F9"/>
          </w:tcPr>
          <w:p w14:paraId="04EC7B00" w14:textId="77777777" w:rsidR="00C533A2" w:rsidRDefault="00FF3267">
            <w:pPr>
              <w:spacing w:before="20" w:after="20"/>
            </w:pPr>
            <w:r>
              <w:rPr>
                <w:sz w:val="13"/>
              </w:rPr>
              <w:t>BSS-1.6 · Deployment fit &amp; incident duty</w:t>
            </w:r>
          </w:p>
        </w:tc>
        <w:tc>
          <w:tcPr>
            <w:tcW w:w="3175" w:type="dxa"/>
            <w:shd w:val="clear" w:color="auto" w:fill="EEF1F9"/>
          </w:tcPr>
          <w:p w14:paraId="7F37537D" w14:textId="77777777" w:rsidR="00C533A2" w:rsidRDefault="00FF3267">
            <w:pPr>
              <w:spacing w:before="20" w:after="20"/>
            </w:pPr>
            <w:r>
              <w:rPr>
                <w:sz w:val="13"/>
              </w:rPr>
              <w:t>Deployers document role fit against the deployment matrix; incidents are classified by trait and reported to the register.</w:t>
            </w:r>
          </w:p>
        </w:tc>
        <w:tc>
          <w:tcPr>
            <w:tcW w:w="2154" w:type="dxa"/>
            <w:shd w:val="clear" w:color="auto" w:fill="EEF1F9"/>
          </w:tcPr>
          <w:p w14:paraId="088ACDDC" w14:textId="77777777" w:rsidR="00C533A2" w:rsidRDefault="00FF3267">
            <w:pPr>
              <w:spacing w:before="20" w:after="20"/>
            </w:pPr>
            <w:r>
              <w:rPr>
                <w:sz w:val="13"/>
              </w:rPr>
              <w:t>Fit documentation + incident taxonomy template</w:t>
            </w:r>
          </w:p>
        </w:tc>
        <w:tc>
          <w:tcPr>
            <w:tcW w:w="1814" w:type="dxa"/>
            <w:shd w:val="clear" w:color="auto" w:fill="EEF1F9"/>
          </w:tcPr>
          <w:p w14:paraId="50083688" w14:textId="77777777" w:rsidR="00C533A2" w:rsidRDefault="00FF3267">
            <w:pPr>
              <w:spacing w:before="20" w:after="20"/>
            </w:pPr>
            <w:r>
              <w:rPr>
                <w:sz w:val="13"/>
              </w:rPr>
              <w:t>Fit review before deployment; incident reports within 72h</w:t>
            </w:r>
          </w:p>
        </w:tc>
      </w:tr>
    </w:tbl>
    <w:p w14:paraId="13C28881" w14:textId="77777777" w:rsidR="00C533A2" w:rsidRDefault="00FF3267">
      <w:pPr>
        <w:pStyle w:val="Heading2"/>
      </w:pPr>
      <w:r>
        <w:lastRenderedPageBreak/>
        <w:t>8.1 Certification ladder</w:t>
      </w:r>
    </w:p>
    <w:p w14:paraId="28FB72AA" w14:textId="77777777" w:rsidR="00C533A2" w:rsidRDefault="00FF3267">
      <w:pPr>
        <w:spacing w:after="40"/>
        <w:jc w:val="center"/>
      </w:pPr>
      <w:r>
        <w:rPr>
          <w:noProof/>
        </w:rPr>
        <w:drawing>
          <wp:inline distT="0" distB="0" distL="0" distR="0" wp14:anchorId="577177B6" wp14:editId="370A594F">
            <wp:extent cx="5903999" cy="27730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_cert_ladder.png"/>
                    <pic:cNvPicPr/>
                  </pic:nvPicPr>
                  <pic:blipFill>
                    <a:blip r:embed="rId23"/>
                    <a:stretch>
                      <a:fillRect/>
                    </a:stretch>
                  </pic:blipFill>
                  <pic:spPr>
                    <a:xfrm>
                      <a:off x="0" y="0"/>
                      <a:ext cx="5903999" cy="2773090"/>
                    </a:xfrm>
                    <a:prstGeom prst="rect">
                      <a:avLst/>
                    </a:prstGeom>
                  </pic:spPr>
                </pic:pic>
              </a:graphicData>
            </a:graphic>
          </wp:inline>
        </w:drawing>
      </w:r>
    </w:p>
    <w:p w14:paraId="516AA744" w14:textId="77777777" w:rsidR="00C533A2" w:rsidRDefault="00FF3267">
      <w:pPr>
        <w:spacing w:after="140"/>
        <w:jc w:val="center"/>
      </w:pPr>
      <w:r>
        <w:rPr>
          <w:i/>
          <w:color w:val="5A6180"/>
          <w:sz w:val="16"/>
        </w:rPr>
        <w:t>Figure 13 — LV0–LV4 certification ladder. Every level states what was tested, when, by whom and with what result; none claims absolute safety.</w:t>
      </w:r>
    </w:p>
    <w:p w14:paraId="039FCECC" w14:textId="77777777" w:rsidR="00C533A2" w:rsidRDefault="00FF3267">
      <w:pPr>
        <w:pStyle w:val="Heading2"/>
      </w:pPr>
      <w:r>
        <w:t>8.2 Layer attribution</w:t>
      </w:r>
    </w:p>
    <w:p w14:paraId="24CD1B96" w14:textId="77777777" w:rsidR="00C533A2" w:rsidRDefault="00FF3267">
      <w:r>
        <w:t>BSS-1.5 operationalises the study's central distinction: what remains when the wrapper is removed. The guardrail-layer reference model (L1 learned tendencies, L2 policy text, L3 runtime filters, L4 environmental controls) is used in every audit to prevent the most common false safety claim — crediting the model with the discipline of its harness.</w:t>
      </w:r>
    </w:p>
    <w:p w14:paraId="6BA81B29" w14:textId="77777777" w:rsidR="00C533A2" w:rsidRDefault="00FF3267">
      <w:pPr>
        <w:spacing w:after="40"/>
        <w:jc w:val="center"/>
      </w:pPr>
      <w:r>
        <w:rPr>
          <w:noProof/>
        </w:rPr>
        <w:drawing>
          <wp:inline distT="0" distB="0" distL="0" distR="0" wp14:anchorId="2310FD86" wp14:editId="5DDABEA4">
            <wp:extent cx="5903999" cy="32021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0_layers.png"/>
                    <pic:cNvPicPr/>
                  </pic:nvPicPr>
                  <pic:blipFill>
                    <a:blip r:embed="rId24"/>
                    <a:stretch>
                      <a:fillRect/>
                    </a:stretch>
                  </pic:blipFill>
                  <pic:spPr>
                    <a:xfrm>
                      <a:off x="0" y="0"/>
                      <a:ext cx="5903999" cy="3202169"/>
                    </a:xfrm>
                    <a:prstGeom prst="rect">
                      <a:avLst/>
                    </a:prstGeom>
                  </pic:spPr>
                </pic:pic>
              </a:graphicData>
            </a:graphic>
          </wp:inline>
        </w:drawing>
      </w:r>
    </w:p>
    <w:p w14:paraId="2B26F3A6" w14:textId="77777777" w:rsidR="00C533A2" w:rsidRDefault="00FF3267">
      <w:pPr>
        <w:spacing w:after="140"/>
        <w:jc w:val="center"/>
      </w:pPr>
      <w:r>
        <w:rPr>
          <w:i/>
          <w:color w:val="5A6180"/>
          <w:sz w:val="16"/>
        </w:rPr>
        <w:t>Figure 14 — Four guardrail layers. Layer-removal attribution is a required test method in BSS-1.2 and BSS-1.5.</w:t>
      </w:r>
    </w:p>
    <w:p w14:paraId="105DF59C" w14:textId="77777777" w:rsidR="00C533A2" w:rsidRDefault="00FF3267">
      <w:pPr>
        <w:pStyle w:val="Heading2"/>
      </w:pPr>
      <w:r>
        <w:t>8.3 Deployment fit</w:t>
      </w:r>
    </w:p>
    <w:p w14:paraId="7FA40E07" w14:textId="77777777" w:rsidR="00C533A2" w:rsidRDefault="00FF3267">
      <w:r>
        <w:t>Certification is meaningless without role context: a model suitable for creative drafting may be unsuitable for children's advice or security work. The deployment discipline maps role classes to the axes that matter for them (Figure 11); LV4 certification is issued per role with a fit dossier listing residual risks and required L4 controls.</w:t>
      </w:r>
    </w:p>
    <w:p w14:paraId="53BB10C3" w14:textId="77777777" w:rsidR="00C533A2" w:rsidRDefault="00FF3267">
      <w:pPr>
        <w:spacing w:after="40"/>
        <w:jc w:val="center"/>
      </w:pPr>
      <w:r>
        <w:rPr>
          <w:noProof/>
        </w:rPr>
        <w:lastRenderedPageBreak/>
        <w:drawing>
          <wp:inline distT="0" distB="0" distL="0" distR="0" wp14:anchorId="2BD085ED" wp14:editId="79AEA199">
            <wp:extent cx="5903999" cy="30414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_deploy_matrix.png"/>
                    <pic:cNvPicPr/>
                  </pic:nvPicPr>
                  <pic:blipFill>
                    <a:blip r:embed="rId25"/>
                    <a:stretch>
                      <a:fillRect/>
                    </a:stretch>
                  </pic:blipFill>
                  <pic:spPr>
                    <a:xfrm>
                      <a:off x="0" y="0"/>
                      <a:ext cx="5903999" cy="3041454"/>
                    </a:xfrm>
                    <a:prstGeom prst="rect">
                      <a:avLst/>
                    </a:prstGeom>
                  </pic:spPr>
                </pic:pic>
              </a:graphicData>
            </a:graphic>
          </wp:inline>
        </w:drawing>
      </w:r>
    </w:p>
    <w:p w14:paraId="4A7EEA2C" w14:textId="77777777" w:rsidR="00C533A2" w:rsidRDefault="00FF3267">
      <w:pPr>
        <w:spacing w:after="140"/>
        <w:jc w:val="center"/>
      </w:pPr>
      <w:r>
        <w:rPr>
          <w:i/>
          <w:color w:val="5A6180"/>
          <w:sz w:val="16"/>
        </w:rPr>
        <w:t>Figure 15 — Deployment fit matrix: filled circles mark the axes most predictive of fit for each role class; open circles mark supporting axes.</w:t>
      </w:r>
    </w:p>
    <w:p w14:paraId="01EA71F4" w14:textId="77777777" w:rsidR="00C533A2" w:rsidRDefault="00FF3267">
      <w:pPr>
        <w:pStyle w:val="Heading1"/>
      </w:pPr>
      <w:r>
        <w:t>9. Statistics, reproducibility and open science</w:t>
      </w:r>
    </w:p>
    <w:p w14:paraId="1A225A8F" w14:textId="77777777" w:rsidR="00C533A2" w:rsidRDefault="00C533A2">
      <w:pPr>
        <w:pBdr>
          <w:bottom w:val="single" w:sz="16" w:space="0" w:color="F2B84B"/>
        </w:pBdr>
        <w:spacing w:after="140" w:line="40" w:lineRule="exact"/>
      </w:pPr>
    </w:p>
    <w:p w14:paraId="32F8ED47" w14:textId="77777777" w:rsidR="00C533A2" w:rsidRDefault="00FF3267">
      <w:pPr>
        <w:pStyle w:val="Heading2"/>
      </w:pPr>
      <w:r>
        <w:t>9.1 Statistical framework</w:t>
      </w:r>
    </w:p>
    <w:p w14:paraId="12B398A8" w14:textId="77777777" w:rsidR="00C533A2" w:rsidRDefault="00FF3267">
      <w:r>
        <w:t>Analyses follow the pre-specified Statistical Analysis Plan (D3). Multiplicity is controlled with hierarchical gatekeeping: confirmatory hypotheses (H1–H7) are tested first, each at α = 0.05, Holm-corrected within families; exploratory analyses are labelled and reported separately with effect sizes and uncertainty intervals. Estimation is interval-first: every reported effect carries a 95% confidence or credible interval.</w:t>
      </w:r>
    </w:p>
    <w:p w14:paraId="0EF43309" w14:textId="77777777" w:rsidR="00C533A2" w:rsidRDefault="00FF3267">
      <w:pPr>
        <w:pStyle w:val="Heading2"/>
      </w:pPr>
      <w:r>
        <w:t>9.2 Unit of analysis and nesting</w:t>
      </w:r>
    </w:p>
    <w:p w14:paraId="4956971E" w14:textId="77777777" w:rsidR="00C533A2" w:rsidRDefault="00FF3267">
      <w:r>
        <w:t>Data are nested (runs within items within checkpoints within families). Primary models are multilevel regressions with random intercepts for items and checkpoints, fitted as pre-specified. Generalizability theory informs rater allocation: the design targets Φ ≥ 0.80 for checkpoint-level means.</w:t>
      </w:r>
    </w:p>
    <w:p w14:paraId="19F0323E" w14:textId="77777777" w:rsidR="00C533A2" w:rsidRDefault="00FF3267">
      <w:pPr>
        <w:pStyle w:val="Heading2"/>
      </w:pPr>
      <w:r>
        <w:t>9.3 Blinding and integrity</w:t>
      </w:r>
    </w:p>
    <w:p w14:paraId="2EC42DEB" w14:textId="77777777" w:rsidR="00C533A2" w:rsidRDefault="00FF3267">
      <w:r>
        <w:t>Scoring is blinded to model identity and condition. Condition assignment is managed by the data steward, not the trial team. Analysis code is frozen and hashed at G0; SAP, code and data land in trusted archives before unblinding. Fraud and fabrication are covered by the research-integrity policy (D1) with an independent ombudsperson.</w:t>
      </w:r>
    </w:p>
    <w:p w14:paraId="37226F75" w14:textId="77777777" w:rsidR="00C533A2" w:rsidRDefault="00FF3267">
      <w:pPr>
        <w:pStyle w:val="Heading2"/>
      </w:pPr>
      <w:r>
        <w:t>9.4 Open science</w:t>
      </w:r>
    </w:p>
    <w:p w14:paraId="3F1AA23D" w14:textId="77777777" w:rsidR="00C533A2" w:rsidRDefault="00FF3267">
      <w:r>
        <w:t>Default to open, with two exceptions: materials that materially increase harmful capability are withheld under the disclosure ladder; personal data of raters and partners stay protected under the DPIA. Everything else — protocols, probes, rubrics, code, calibration tables, raw per-item scores — is released under CC BY-SA 4.0 with FAIR metadata [28]. Negative results are released with the same priority.</w:t>
      </w:r>
    </w:p>
    <w:p w14:paraId="7BCEC39E" w14:textId="77777777" w:rsidR="00C533A2" w:rsidRDefault="00FF3267">
      <w:pPr>
        <w:pStyle w:val="Heading2"/>
      </w:pPr>
      <w:r>
        <w:t>9.5 Data management</w:t>
      </w:r>
    </w:p>
    <w:p w14:paraId="46336CD9" w14:textId="77777777" w:rsidR="00C533A2" w:rsidRDefault="00FF3267">
      <w:r>
        <w:t>The lifecycle is documented end to end: secure collection (encrypted at rest, access-controlled), pseudonymised rater data, 10-year retention for scientific records, 2-year retention for raw rater session data, and destruction records for model organisms. The data steward maintains a public data index; releases carry DOIs.</w:t>
      </w:r>
    </w:p>
    <w:p w14:paraId="3DE3A29D" w14:textId="77777777" w:rsidR="00C533A2" w:rsidRDefault="00FF3267">
      <w:pPr>
        <w:pStyle w:val="Heading1"/>
      </w:pPr>
      <w:r>
        <w:t>10. Ethics and governance (summary)</w:t>
      </w:r>
    </w:p>
    <w:p w14:paraId="60E23C72" w14:textId="77777777" w:rsidR="00C533A2" w:rsidRDefault="00C533A2">
      <w:pPr>
        <w:pBdr>
          <w:bottom w:val="single" w:sz="16" w:space="0" w:color="F2B84B"/>
        </w:pBdr>
        <w:spacing w:after="140" w:line="40" w:lineRule="exact"/>
      </w:pPr>
    </w:p>
    <w:p w14:paraId="6235D254" w14:textId="77777777" w:rsidR="00C533A2" w:rsidRDefault="00FF3267">
      <w:r>
        <w:t>The full ethical analysis lives in the companion Ethics Dossier, submitted to the ethics committee alongside this proposal. In summary, the ethical architecture rests on five commitments:</w:t>
      </w:r>
    </w:p>
    <w:p w14:paraId="45D2D674" w14:textId="77777777" w:rsidR="00C533A2" w:rsidRDefault="00FF3267">
      <w:pPr>
        <w:pStyle w:val="ListBullet"/>
        <w:spacing w:after="50"/>
      </w:pPr>
      <w:r>
        <w:lastRenderedPageBreak/>
        <w:t>Non-maleficence first: contained, reversible, synthetic-only induction under an absolute red-line list with an independent veto.</w:t>
      </w:r>
    </w:p>
    <w:p w14:paraId="4479F63C" w14:textId="77777777" w:rsidR="00C533A2" w:rsidRDefault="00FF3267">
      <w:pPr>
        <w:pStyle w:val="ListBullet"/>
        <w:spacing w:after="50"/>
      </w:pPr>
      <w:r>
        <w:t>Moral caution toward artificial subjects: no model is granted moral status by this programme, but uncertainty about machine welfare is treated as a reason for restraint, not indifference [31], [32].</w:t>
      </w:r>
    </w:p>
    <w:p w14:paraId="15E82A53" w14:textId="77777777" w:rsidR="00C533A2" w:rsidRDefault="00FF3267">
      <w:pPr>
        <w:pStyle w:val="ListBullet"/>
        <w:spacing w:after="50"/>
      </w:pPr>
      <w:r>
        <w:t>Fair human work: raters paid above local living-wage benchmarks, trained, supported with content warnings and limits, covered by informed consent [33], [34].</w:t>
      </w:r>
    </w:p>
    <w:p w14:paraId="06AC736B" w14:textId="77777777" w:rsidR="00C533A2" w:rsidRDefault="00FF3267">
      <w:pPr>
        <w:pStyle w:val="ListBullet"/>
        <w:spacing w:after="50"/>
      </w:pPr>
      <w:r>
        <w:t>Transparency with teeth: preregistration, peer-reviewed protocols, and the negative-results register.</w:t>
      </w:r>
    </w:p>
    <w:p w14:paraId="20D48B5E" w14:textId="77777777" w:rsidR="00C533A2" w:rsidRDefault="00FF3267">
      <w:pPr>
        <w:pStyle w:val="ListBullet"/>
        <w:spacing w:after="50"/>
      </w:pPr>
      <w:r>
        <w:t>Independence: an oversight board with veto powers, a conflict-of-interest register, and a funding policy that keeps safety findings non-negotiable.</w:t>
      </w:r>
    </w:p>
    <w:p w14:paraId="14F3512B" w14:textId="77777777" w:rsidR="00C533A2" w:rsidRDefault="00FF3267">
      <w:pPr>
        <w:pStyle w:val="Heading2"/>
      </w:pPr>
      <w:r>
        <w:t>10.1 The harm register</w:t>
      </w:r>
    </w:p>
    <w:p w14:paraId="557DA50D" w14:textId="77777777" w:rsidR="00C533A2" w:rsidRDefault="00FF3267">
      <w:pPr>
        <w:spacing w:after="40"/>
        <w:jc w:val="center"/>
      </w:pPr>
      <w:r>
        <w:rPr>
          <w:noProof/>
        </w:rPr>
        <w:drawing>
          <wp:inline distT="0" distB="0" distL="0" distR="0" wp14:anchorId="3B7A55E1" wp14:editId="5F3D76C6">
            <wp:extent cx="5903999" cy="223636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2_harm_register.png"/>
                    <pic:cNvPicPr/>
                  </pic:nvPicPr>
                  <pic:blipFill>
                    <a:blip r:embed="rId26"/>
                    <a:stretch>
                      <a:fillRect/>
                    </a:stretch>
                  </pic:blipFill>
                  <pic:spPr>
                    <a:xfrm>
                      <a:off x="0" y="0"/>
                      <a:ext cx="5903999" cy="2236363"/>
                    </a:xfrm>
                    <a:prstGeom prst="rect">
                      <a:avLst/>
                    </a:prstGeom>
                  </pic:spPr>
                </pic:pic>
              </a:graphicData>
            </a:graphic>
          </wp:inline>
        </w:drawing>
      </w:r>
    </w:p>
    <w:p w14:paraId="5031DA09" w14:textId="77777777" w:rsidR="00C533A2" w:rsidRDefault="00FF3267">
      <w:pPr>
        <w:spacing w:after="140"/>
        <w:jc w:val="center"/>
      </w:pPr>
      <w:r>
        <w:rPr>
          <w:i/>
          <w:color w:val="5A6180"/>
          <w:sz w:val="16"/>
        </w:rPr>
        <w:t>Figure 16 — The harm register and containment envelope are drafted before the first organism exists, and audited after every batch.</w:t>
      </w:r>
    </w:p>
    <w:p w14:paraId="23865DD8" w14:textId="77777777" w:rsidR="00C533A2" w:rsidRDefault="00FF3267">
      <w:pPr>
        <w:pStyle w:val="Heading2"/>
      </w:pPr>
      <w:r>
        <w:t>10.2 The disclosure ladder</w:t>
      </w:r>
    </w:p>
    <w:p w14:paraId="74CAE163" w14:textId="77777777" w:rsidR="00C533A2" w:rsidRDefault="00FF3267">
      <w:r>
        <w:t>Findings that could transfer capability to misuse follow a four-rung ladder: (1) full publication; (2) publication with delayed methods; (3) aggregate findings with methods shared only with vetted auditors; (4) no publication, facts reported to authorities. Rung assignments are made by the oversight board with the PI, and are themselves published.</w:t>
      </w:r>
    </w:p>
    <w:p w14:paraId="26357C77" w14:textId="77777777" w:rsidR="00C533A2" w:rsidRDefault="00FF3267">
      <w:pPr>
        <w:pStyle w:val="Heading1"/>
      </w:pPr>
      <w:r>
        <w:t>11. Project management, timeline and budget</w:t>
      </w:r>
    </w:p>
    <w:p w14:paraId="6CF4B17A" w14:textId="77777777" w:rsidR="00C533A2" w:rsidRDefault="00C533A2">
      <w:pPr>
        <w:pBdr>
          <w:bottom w:val="single" w:sz="16" w:space="0" w:color="F2B84B"/>
        </w:pBdr>
        <w:spacing w:after="140" w:line="40" w:lineRule="exact"/>
      </w:pPr>
    </w:p>
    <w:p w14:paraId="024983C5" w14:textId="77777777" w:rsidR="00C533A2" w:rsidRDefault="00FF3267">
      <w:pPr>
        <w:pStyle w:val="Heading2"/>
      </w:pPr>
      <w:r>
        <w:t>11.1 Plan and milestones</w:t>
      </w:r>
    </w:p>
    <w:p w14:paraId="5950C600" w14:textId="77777777" w:rsidR="00C533A2" w:rsidRDefault="00FF3267">
      <w:r>
        <w:t>Delivery is managed through the companion Project Plan, containing the task-level schedule, resource model and three costed scenarios. The critical path runs WP2 → WP3 → WP4 → WP5 with standards drafting (WP7) gated on evidence, while WP6 runs in parallel from year two.</w:t>
      </w:r>
    </w:p>
    <w:tbl>
      <w:tblPr>
        <w:tblStyle w:val="TableGrid"/>
        <w:tblW w:w="0" w:type="auto"/>
        <w:jc w:val="center"/>
        <w:tblLook w:val="04A0" w:firstRow="1" w:lastRow="0" w:firstColumn="1" w:lastColumn="0" w:noHBand="0" w:noVBand="1"/>
      </w:tblPr>
      <w:tblGrid>
        <w:gridCol w:w="4309"/>
        <w:gridCol w:w="1474"/>
        <w:gridCol w:w="3288"/>
      </w:tblGrid>
      <w:tr w:rsidR="00C533A2" w14:paraId="6422D5AA" w14:textId="77777777">
        <w:trPr>
          <w:cantSplit/>
          <w:tblHeader/>
          <w:jc w:val="center"/>
        </w:trPr>
        <w:tc>
          <w:tcPr>
            <w:tcW w:w="4309" w:type="dxa"/>
            <w:shd w:val="clear" w:color="auto" w:fill="151B38"/>
          </w:tcPr>
          <w:p w14:paraId="0AC8D901" w14:textId="77777777" w:rsidR="00C533A2" w:rsidRDefault="00FF3267">
            <w:pPr>
              <w:spacing w:before="20" w:after="20"/>
            </w:pPr>
            <w:r>
              <w:rPr>
                <w:b/>
                <w:color w:val="FFFFFF"/>
                <w:sz w:val="15"/>
              </w:rPr>
              <w:t>Milestone</w:t>
            </w:r>
          </w:p>
        </w:tc>
        <w:tc>
          <w:tcPr>
            <w:tcW w:w="1474" w:type="dxa"/>
            <w:shd w:val="clear" w:color="auto" w:fill="151B38"/>
          </w:tcPr>
          <w:p w14:paraId="5639AE2A" w14:textId="77777777" w:rsidR="00C533A2" w:rsidRDefault="00FF3267">
            <w:pPr>
              <w:spacing w:before="20" w:after="20"/>
            </w:pPr>
            <w:r>
              <w:rPr>
                <w:b/>
                <w:color w:val="FFFFFF"/>
                <w:sz w:val="15"/>
              </w:rPr>
              <w:t>Target</w:t>
            </w:r>
          </w:p>
        </w:tc>
        <w:tc>
          <w:tcPr>
            <w:tcW w:w="3288" w:type="dxa"/>
            <w:shd w:val="clear" w:color="auto" w:fill="151B38"/>
          </w:tcPr>
          <w:p w14:paraId="7DDB60F0" w14:textId="77777777" w:rsidR="00C533A2" w:rsidRDefault="00FF3267">
            <w:pPr>
              <w:spacing w:before="20" w:after="20"/>
            </w:pPr>
            <w:r>
              <w:rPr>
                <w:b/>
                <w:color w:val="FFFFFF"/>
                <w:sz w:val="15"/>
              </w:rPr>
              <w:t>Gate / evidence</w:t>
            </w:r>
          </w:p>
        </w:tc>
      </w:tr>
      <w:tr w:rsidR="00C533A2" w14:paraId="4B7C09ED" w14:textId="77777777">
        <w:trPr>
          <w:cantSplit/>
          <w:jc w:val="center"/>
        </w:trPr>
        <w:tc>
          <w:tcPr>
            <w:tcW w:w="4309" w:type="dxa"/>
          </w:tcPr>
          <w:p w14:paraId="276BCBFA" w14:textId="77777777" w:rsidR="00C533A2" w:rsidRDefault="00FF3267">
            <w:pPr>
              <w:spacing w:before="20" w:after="20"/>
            </w:pPr>
            <w:r>
              <w:rPr>
                <w:sz w:val="15"/>
              </w:rPr>
              <w:t>Kick-off &amp; charter</w:t>
            </w:r>
          </w:p>
        </w:tc>
        <w:tc>
          <w:tcPr>
            <w:tcW w:w="1474" w:type="dxa"/>
          </w:tcPr>
          <w:p w14:paraId="6D7CFAE7" w14:textId="77777777" w:rsidR="00C533A2" w:rsidRDefault="00FF3267">
            <w:pPr>
              <w:spacing w:before="20" w:after="20"/>
            </w:pPr>
            <w:r>
              <w:rPr>
                <w:sz w:val="15"/>
              </w:rPr>
              <w:t>Oct 2026</w:t>
            </w:r>
          </w:p>
        </w:tc>
        <w:tc>
          <w:tcPr>
            <w:tcW w:w="3288" w:type="dxa"/>
          </w:tcPr>
          <w:p w14:paraId="6EB25BE3" w14:textId="77777777" w:rsidR="00C533A2" w:rsidRDefault="00FF3267">
            <w:pPr>
              <w:spacing w:before="20" w:after="20"/>
            </w:pPr>
            <w:r>
              <w:rPr>
                <w:sz w:val="15"/>
              </w:rPr>
              <w:t>Pre-registration lodged; instruments frozen; analysis code hashed</w:t>
            </w:r>
          </w:p>
        </w:tc>
      </w:tr>
      <w:tr w:rsidR="00C533A2" w14:paraId="25091C8A" w14:textId="77777777">
        <w:trPr>
          <w:cantSplit/>
          <w:jc w:val="center"/>
        </w:trPr>
        <w:tc>
          <w:tcPr>
            <w:tcW w:w="4309" w:type="dxa"/>
            <w:shd w:val="clear" w:color="auto" w:fill="EEF1F9"/>
          </w:tcPr>
          <w:p w14:paraId="7095A9AD" w14:textId="77777777" w:rsidR="00C533A2" w:rsidRDefault="00FF3267">
            <w:pPr>
              <w:spacing w:before="20" w:after="20"/>
            </w:pPr>
            <w:r>
              <w:rPr>
                <w:sz w:val="15"/>
              </w:rPr>
              <w:t>SCT-2.0 item bank frozen (360 items)</w:t>
            </w:r>
          </w:p>
        </w:tc>
        <w:tc>
          <w:tcPr>
            <w:tcW w:w="1474" w:type="dxa"/>
            <w:shd w:val="clear" w:color="auto" w:fill="EEF1F9"/>
          </w:tcPr>
          <w:p w14:paraId="389B5739" w14:textId="77777777" w:rsidR="00C533A2" w:rsidRDefault="00FF3267">
            <w:pPr>
              <w:spacing w:before="20" w:after="20"/>
            </w:pPr>
            <w:r>
              <w:rPr>
                <w:sz w:val="15"/>
              </w:rPr>
              <w:t>Jun 2027</w:t>
            </w:r>
          </w:p>
        </w:tc>
        <w:tc>
          <w:tcPr>
            <w:tcW w:w="3288" w:type="dxa"/>
            <w:shd w:val="clear" w:color="auto" w:fill="EEF1F9"/>
          </w:tcPr>
          <w:p w14:paraId="3A6DE579" w14:textId="77777777" w:rsidR="00C533A2" w:rsidRDefault="00FF3267">
            <w:pPr>
              <w:spacing w:before="20" w:after="20"/>
            </w:pPr>
            <w:r>
              <w:rPr>
                <w:sz w:val="15"/>
              </w:rPr>
              <w:t>SCT-2.0 pilot &amp; inter-rater agreement ≥ target; instrument bugs closed</w:t>
            </w:r>
          </w:p>
        </w:tc>
      </w:tr>
      <w:tr w:rsidR="00C533A2" w14:paraId="0F01662D" w14:textId="77777777">
        <w:trPr>
          <w:cantSplit/>
          <w:jc w:val="center"/>
        </w:trPr>
        <w:tc>
          <w:tcPr>
            <w:tcW w:w="4309" w:type="dxa"/>
          </w:tcPr>
          <w:p w14:paraId="69989BD8" w14:textId="77777777" w:rsidR="00C533A2" w:rsidRDefault="00FF3267">
            <w:pPr>
              <w:spacing w:before="20" w:after="20"/>
            </w:pPr>
            <w:r>
              <w:rPr>
                <w:sz w:val="15"/>
              </w:rPr>
              <w:t>Containment standard CNT-1 approved</w:t>
            </w:r>
          </w:p>
        </w:tc>
        <w:tc>
          <w:tcPr>
            <w:tcW w:w="1474" w:type="dxa"/>
          </w:tcPr>
          <w:p w14:paraId="1E9F92C6" w14:textId="77777777" w:rsidR="00C533A2" w:rsidRDefault="00FF3267">
            <w:pPr>
              <w:spacing w:before="20" w:after="20"/>
            </w:pPr>
            <w:r>
              <w:rPr>
                <w:sz w:val="15"/>
              </w:rPr>
              <w:t>Jun 2027</w:t>
            </w:r>
          </w:p>
        </w:tc>
        <w:tc>
          <w:tcPr>
            <w:tcW w:w="3288" w:type="dxa"/>
          </w:tcPr>
          <w:p w14:paraId="6ACE7F95" w14:textId="77777777" w:rsidR="00C533A2" w:rsidRDefault="00FF3267">
            <w:pPr>
              <w:spacing w:before="20" w:after="20"/>
            </w:pPr>
            <w:r>
              <w:rPr>
                <w:sz w:val="15"/>
              </w:rPr>
              <w:t>Containment standard met and independently reviewed; harm register signed</w:t>
            </w:r>
          </w:p>
        </w:tc>
      </w:tr>
      <w:tr w:rsidR="00C533A2" w14:paraId="16C94698" w14:textId="77777777">
        <w:trPr>
          <w:cantSplit/>
          <w:jc w:val="center"/>
        </w:trPr>
        <w:tc>
          <w:tcPr>
            <w:tcW w:w="4309" w:type="dxa"/>
            <w:shd w:val="clear" w:color="auto" w:fill="EEF1F9"/>
          </w:tcPr>
          <w:p w14:paraId="43B9872B" w14:textId="77777777" w:rsidR="00C533A2" w:rsidRDefault="00FF3267">
            <w:pPr>
              <w:spacing w:before="20" w:after="20"/>
            </w:pPr>
            <w:r>
              <w:rPr>
                <w:sz w:val="15"/>
              </w:rPr>
              <w:t>First model organisms online</w:t>
            </w:r>
          </w:p>
        </w:tc>
        <w:tc>
          <w:tcPr>
            <w:tcW w:w="1474" w:type="dxa"/>
            <w:shd w:val="clear" w:color="auto" w:fill="EEF1F9"/>
          </w:tcPr>
          <w:p w14:paraId="3F8346A7" w14:textId="77777777" w:rsidR="00C533A2" w:rsidRDefault="00FF3267">
            <w:pPr>
              <w:spacing w:before="20" w:after="20"/>
            </w:pPr>
            <w:r>
              <w:rPr>
                <w:sz w:val="15"/>
              </w:rPr>
              <w:t>Mar 2028</w:t>
            </w:r>
          </w:p>
        </w:tc>
        <w:tc>
          <w:tcPr>
            <w:tcW w:w="3288" w:type="dxa"/>
            <w:shd w:val="clear" w:color="auto" w:fill="EEF1F9"/>
          </w:tcPr>
          <w:p w14:paraId="2A3A39D4" w14:textId="77777777" w:rsidR="00C533A2" w:rsidRDefault="00FF3267">
            <w:pPr>
              <w:spacing w:before="20" w:after="20"/>
            </w:pPr>
            <w:r>
              <w:rPr>
                <w:sz w:val="15"/>
              </w:rPr>
              <w:t>Trait taxonomy validated at pre-registered thresholds; replications done</w:t>
            </w:r>
          </w:p>
        </w:tc>
      </w:tr>
      <w:tr w:rsidR="00C533A2" w14:paraId="1719F942" w14:textId="77777777">
        <w:trPr>
          <w:cantSplit/>
          <w:jc w:val="center"/>
        </w:trPr>
        <w:tc>
          <w:tcPr>
            <w:tcW w:w="4309" w:type="dxa"/>
          </w:tcPr>
          <w:p w14:paraId="42A6011F" w14:textId="77777777" w:rsidR="00C533A2" w:rsidRDefault="00FF3267">
            <w:pPr>
              <w:spacing w:before="20" w:after="20"/>
            </w:pPr>
            <w:r>
              <w:rPr>
                <w:sz w:val="15"/>
              </w:rPr>
              <w:t>SCT-2.0 validation results published</w:t>
            </w:r>
          </w:p>
        </w:tc>
        <w:tc>
          <w:tcPr>
            <w:tcW w:w="1474" w:type="dxa"/>
          </w:tcPr>
          <w:p w14:paraId="7585DC2C" w14:textId="77777777" w:rsidR="00C533A2" w:rsidRDefault="00FF3267">
            <w:pPr>
              <w:spacing w:before="20" w:after="20"/>
            </w:pPr>
            <w:r>
              <w:rPr>
                <w:sz w:val="15"/>
              </w:rPr>
              <w:t>Jun 2029</w:t>
            </w:r>
          </w:p>
        </w:tc>
        <w:tc>
          <w:tcPr>
            <w:tcW w:w="3288" w:type="dxa"/>
          </w:tcPr>
          <w:p w14:paraId="2B5C82FD" w14:textId="77777777" w:rsidR="00C533A2" w:rsidRDefault="00FF3267">
            <w:pPr>
              <w:spacing w:before="20" w:after="20"/>
            </w:pPr>
            <w:r>
              <w:rPr>
                <w:sz w:val="15"/>
              </w:rPr>
              <w:t>Standard clauses demonstrably testable across ≥ 3 model families</w:t>
            </w:r>
          </w:p>
        </w:tc>
      </w:tr>
      <w:tr w:rsidR="00C533A2" w14:paraId="7BF23E4E" w14:textId="77777777">
        <w:trPr>
          <w:cantSplit/>
          <w:jc w:val="center"/>
        </w:trPr>
        <w:tc>
          <w:tcPr>
            <w:tcW w:w="4309" w:type="dxa"/>
            <w:shd w:val="clear" w:color="auto" w:fill="EEF1F9"/>
          </w:tcPr>
          <w:p w14:paraId="5A7C082E" w14:textId="77777777" w:rsidR="00C533A2" w:rsidRDefault="00FF3267">
            <w:pPr>
              <w:spacing w:before="20" w:after="20"/>
            </w:pPr>
            <w:r>
              <w:rPr>
                <w:sz w:val="15"/>
              </w:rPr>
              <w:t>Taxonomy v2 published</w:t>
            </w:r>
          </w:p>
        </w:tc>
        <w:tc>
          <w:tcPr>
            <w:tcW w:w="1474" w:type="dxa"/>
            <w:shd w:val="clear" w:color="auto" w:fill="EEF1F9"/>
          </w:tcPr>
          <w:p w14:paraId="6352B72F" w14:textId="77777777" w:rsidR="00C533A2" w:rsidRDefault="00FF3267">
            <w:pPr>
              <w:spacing w:before="20" w:after="20"/>
            </w:pPr>
            <w:r>
              <w:rPr>
                <w:sz w:val="15"/>
              </w:rPr>
              <w:t>Dec 2029</w:t>
            </w:r>
          </w:p>
        </w:tc>
        <w:tc>
          <w:tcPr>
            <w:tcW w:w="3288" w:type="dxa"/>
            <w:shd w:val="clear" w:color="auto" w:fill="EEF1F9"/>
          </w:tcPr>
          <w:p w14:paraId="774A642E" w14:textId="77777777" w:rsidR="00C533A2" w:rsidRDefault="00FF3267">
            <w:pPr>
              <w:spacing w:before="20" w:after="20"/>
            </w:pPr>
            <w:r>
              <w:rPr>
                <w:sz w:val="15"/>
              </w:rPr>
              <w:t>Sign-off by oversight board</w:t>
            </w:r>
          </w:p>
        </w:tc>
      </w:tr>
      <w:tr w:rsidR="00C533A2" w14:paraId="170A3867" w14:textId="77777777">
        <w:trPr>
          <w:cantSplit/>
          <w:jc w:val="center"/>
        </w:trPr>
        <w:tc>
          <w:tcPr>
            <w:tcW w:w="4309" w:type="dxa"/>
          </w:tcPr>
          <w:p w14:paraId="174D3172" w14:textId="77777777" w:rsidR="00C533A2" w:rsidRDefault="00FF3267">
            <w:pPr>
              <w:spacing w:before="20" w:after="20"/>
            </w:pPr>
            <w:r>
              <w:rPr>
                <w:sz w:val="15"/>
              </w:rPr>
              <w:t>BSS-1 standard submitted to a standards body</w:t>
            </w:r>
          </w:p>
        </w:tc>
        <w:tc>
          <w:tcPr>
            <w:tcW w:w="1474" w:type="dxa"/>
          </w:tcPr>
          <w:p w14:paraId="076EA6AD" w14:textId="77777777" w:rsidR="00C533A2" w:rsidRDefault="00FF3267">
            <w:pPr>
              <w:spacing w:before="20" w:after="20"/>
            </w:pPr>
            <w:r>
              <w:rPr>
                <w:sz w:val="15"/>
              </w:rPr>
              <w:t>Jun 2030</w:t>
            </w:r>
          </w:p>
        </w:tc>
        <w:tc>
          <w:tcPr>
            <w:tcW w:w="3288" w:type="dxa"/>
          </w:tcPr>
          <w:p w14:paraId="3AFD0088" w14:textId="77777777" w:rsidR="00C533A2" w:rsidRDefault="00FF3267">
            <w:pPr>
              <w:spacing w:before="20" w:after="20"/>
            </w:pPr>
            <w:r>
              <w:rPr>
                <w:sz w:val="15"/>
              </w:rPr>
              <w:t>Sign-off by oversight board</w:t>
            </w:r>
          </w:p>
        </w:tc>
      </w:tr>
      <w:tr w:rsidR="00C533A2" w14:paraId="0107EDFC" w14:textId="77777777">
        <w:trPr>
          <w:cantSplit/>
          <w:jc w:val="center"/>
        </w:trPr>
        <w:tc>
          <w:tcPr>
            <w:tcW w:w="4309" w:type="dxa"/>
            <w:shd w:val="clear" w:color="auto" w:fill="EEF1F9"/>
          </w:tcPr>
          <w:p w14:paraId="7E227678" w14:textId="77777777" w:rsidR="00C533A2" w:rsidRDefault="00FF3267">
            <w:pPr>
              <w:spacing w:before="20" w:after="20"/>
            </w:pPr>
            <w:r>
              <w:rPr>
                <w:sz w:val="15"/>
              </w:rPr>
              <w:t>Certification pilot with two authorities</w:t>
            </w:r>
          </w:p>
        </w:tc>
        <w:tc>
          <w:tcPr>
            <w:tcW w:w="1474" w:type="dxa"/>
            <w:shd w:val="clear" w:color="auto" w:fill="EEF1F9"/>
          </w:tcPr>
          <w:p w14:paraId="0B27DC7F" w14:textId="77777777" w:rsidR="00C533A2" w:rsidRDefault="00FF3267">
            <w:pPr>
              <w:spacing w:before="20" w:after="20"/>
            </w:pPr>
            <w:r>
              <w:rPr>
                <w:sz w:val="15"/>
              </w:rPr>
              <w:t>Jun 2031</w:t>
            </w:r>
          </w:p>
        </w:tc>
        <w:tc>
          <w:tcPr>
            <w:tcW w:w="3288" w:type="dxa"/>
            <w:shd w:val="clear" w:color="auto" w:fill="EEF1F9"/>
          </w:tcPr>
          <w:p w14:paraId="1342B434" w14:textId="77777777" w:rsidR="00C533A2" w:rsidRDefault="00FF3267">
            <w:pPr>
              <w:spacing w:before="20" w:after="20"/>
            </w:pPr>
            <w:r>
              <w:rPr>
                <w:sz w:val="15"/>
              </w:rPr>
              <w:t>Sign-off by oversight board</w:t>
            </w:r>
          </w:p>
        </w:tc>
      </w:tr>
    </w:tbl>
    <w:p w14:paraId="28418DC7" w14:textId="77777777" w:rsidR="00C533A2" w:rsidRDefault="00FF3267">
      <w:pPr>
        <w:spacing w:after="40"/>
        <w:jc w:val="center"/>
      </w:pPr>
      <w:r>
        <w:rPr>
          <w:noProof/>
        </w:rPr>
        <w:lastRenderedPageBreak/>
        <w:drawing>
          <wp:inline distT="0" distB="0" distL="0" distR="0" wp14:anchorId="54026232" wp14:editId="7A7DF0F3">
            <wp:extent cx="5903999" cy="1968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_timeline.png"/>
                    <pic:cNvPicPr/>
                  </pic:nvPicPr>
                  <pic:blipFill>
                    <a:blip r:embed="rId27"/>
                    <a:stretch>
                      <a:fillRect/>
                    </a:stretch>
                  </pic:blipFill>
                  <pic:spPr>
                    <a:xfrm>
                      <a:off x="0" y="0"/>
                      <a:ext cx="5903999" cy="1968000"/>
                    </a:xfrm>
                    <a:prstGeom prst="rect">
                      <a:avLst/>
                    </a:prstGeom>
                  </pic:spPr>
                </pic:pic>
              </a:graphicData>
            </a:graphic>
          </wp:inline>
        </w:drawing>
      </w:r>
    </w:p>
    <w:p w14:paraId="75E8CBBB" w14:textId="77777777" w:rsidR="00C533A2" w:rsidRDefault="00FF3267">
      <w:pPr>
        <w:spacing w:after="140"/>
        <w:jc w:val="center"/>
      </w:pPr>
      <w:r>
        <w:rPr>
          <w:i/>
          <w:color w:val="5A6180"/>
          <w:sz w:val="16"/>
        </w:rPr>
        <w:t>Figure 17 — Programme milestones on the five-year timeline.</w:t>
      </w:r>
    </w:p>
    <w:p w14:paraId="7EDCB25D" w14:textId="77777777" w:rsidR="00C533A2" w:rsidRDefault="00FF3267">
      <w:pPr>
        <w:pStyle w:val="Heading2"/>
      </w:pPr>
      <w:r>
        <w:t>11.2 Three scenarios</w:t>
      </w:r>
    </w:p>
    <w:tbl>
      <w:tblPr>
        <w:tblStyle w:val="TableGrid"/>
        <w:tblW w:w="0" w:type="auto"/>
        <w:jc w:val="center"/>
        <w:tblLook w:val="04A0" w:firstRow="1" w:lastRow="0" w:firstColumn="1" w:lastColumn="0" w:noHBand="0" w:noVBand="1"/>
      </w:tblPr>
      <w:tblGrid>
        <w:gridCol w:w="1113"/>
        <w:gridCol w:w="4042"/>
        <w:gridCol w:w="1433"/>
        <w:gridCol w:w="1440"/>
        <w:gridCol w:w="1826"/>
      </w:tblGrid>
      <w:tr w:rsidR="00C533A2" w14:paraId="34A9B817" w14:textId="77777777">
        <w:trPr>
          <w:cantSplit/>
          <w:tblHeader/>
          <w:jc w:val="center"/>
        </w:trPr>
        <w:tc>
          <w:tcPr>
            <w:tcW w:w="1134" w:type="dxa"/>
            <w:shd w:val="clear" w:color="auto" w:fill="151B38"/>
          </w:tcPr>
          <w:p w14:paraId="73B391BE" w14:textId="77777777" w:rsidR="00C533A2" w:rsidRDefault="00FF3267">
            <w:pPr>
              <w:spacing w:before="20" w:after="20"/>
            </w:pPr>
            <w:r>
              <w:rPr>
                <w:b/>
                <w:color w:val="FFFFFF"/>
                <w:sz w:val="15"/>
              </w:rPr>
              <w:t>Scenario</w:t>
            </w:r>
          </w:p>
        </w:tc>
        <w:tc>
          <w:tcPr>
            <w:tcW w:w="4252" w:type="dxa"/>
            <w:shd w:val="clear" w:color="auto" w:fill="151B38"/>
          </w:tcPr>
          <w:p w14:paraId="4AEB1EE2" w14:textId="77777777" w:rsidR="00C533A2" w:rsidRDefault="00FF3267">
            <w:pPr>
              <w:spacing w:before="20" w:after="20"/>
            </w:pPr>
            <w:r>
              <w:rPr>
                <w:b/>
                <w:color w:val="FFFFFF"/>
                <w:sz w:val="15"/>
              </w:rPr>
              <w:t>Shape</w:t>
            </w:r>
          </w:p>
        </w:tc>
        <w:tc>
          <w:tcPr>
            <w:tcW w:w="1474" w:type="dxa"/>
            <w:shd w:val="clear" w:color="auto" w:fill="151B38"/>
          </w:tcPr>
          <w:p w14:paraId="390C9D7E" w14:textId="77777777" w:rsidR="00C533A2" w:rsidRDefault="00FF3267">
            <w:pPr>
              <w:spacing w:before="20" w:after="20"/>
            </w:pPr>
            <w:r>
              <w:rPr>
                <w:b/>
                <w:color w:val="FFFFFF"/>
                <w:sz w:val="15"/>
              </w:rPr>
              <w:t>Duration</w:t>
            </w:r>
          </w:p>
        </w:tc>
        <w:tc>
          <w:tcPr>
            <w:tcW w:w="1474" w:type="dxa"/>
            <w:shd w:val="clear" w:color="auto" w:fill="151B38"/>
          </w:tcPr>
          <w:p w14:paraId="3402B900" w14:textId="77777777" w:rsidR="00C533A2" w:rsidRDefault="00FF3267">
            <w:pPr>
              <w:spacing w:before="20" w:after="20"/>
            </w:pPr>
            <w:r>
              <w:rPr>
                <w:b/>
                <w:color w:val="FFFFFF"/>
                <w:sz w:val="15"/>
              </w:rPr>
              <w:t>Planning total</w:t>
            </w:r>
          </w:p>
        </w:tc>
        <w:tc>
          <w:tcPr>
            <w:tcW w:w="1871" w:type="dxa"/>
            <w:shd w:val="clear" w:color="auto" w:fill="151B38"/>
          </w:tcPr>
          <w:p w14:paraId="678000C0" w14:textId="77777777" w:rsidR="00C533A2" w:rsidRDefault="00FF3267">
            <w:pPr>
              <w:spacing w:before="20" w:after="20"/>
            </w:pPr>
            <w:r>
              <w:rPr>
                <w:b/>
                <w:color w:val="FFFFFF"/>
                <w:sz w:val="15"/>
              </w:rPr>
              <w:t>Role</w:t>
            </w:r>
          </w:p>
        </w:tc>
      </w:tr>
      <w:tr w:rsidR="00C533A2" w14:paraId="1702C080" w14:textId="77777777">
        <w:trPr>
          <w:cantSplit/>
          <w:jc w:val="center"/>
        </w:trPr>
        <w:tc>
          <w:tcPr>
            <w:tcW w:w="1134" w:type="dxa"/>
          </w:tcPr>
          <w:p w14:paraId="6E082B3C" w14:textId="77777777" w:rsidR="00C533A2" w:rsidRDefault="00FF3267">
            <w:pPr>
              <w:spacing w:before="20" w:after="20"/>
            </w:pPr>
            <w:r>
              <w:rPr>
                <w:sz w:val="15"/>
              </w:rPr>
              <w:t>Lean</w:t>
            </w:r>
          </w:p>
        </w:tc>
        <w:tc>
          <w:tcPr>
            <w:tcW w:w="4252" w:type="dxa"/>
          </w:tcPr>
          <w:p w14:paraId="4A6F97AE" w14:textId="77777777" w:rsidR="00C533A2" w:rsidRDefault="00FF3267">
            <w:pPr>
              <w:spacing w:before="20" w:after="20"/>
            </w:pPr>
            <w:r>
              <w:rPr>
                <w:sz w:val="15"/>
              </w:rPr>
              <w:t>A single site, open models first, community annotation, three years</w:t>
            </w:r>
          </w:p>
        </w:tc>
        <w:tc>
          <w:tcPr>
            <w:tcW w:w="1474" w:type="dxa"/>
          </w:tcPr>
          <w:p w14:paraId="361AC3DB" w14:textId="77777777" w:rsidR="00C533A2" w:rsidRDefault="00FF3267">
            <w:pPr>
              <w:spacing w:before="20" w:after="20"/>
            </w:pPr>
            <w:r>
              <w:rPr>
                <w:sz w:val="15"/>
              </w:rPr>
              <w:t>3 yrs (2027–2029)</w:t>
            </w:r>
          </w:p>
        </w:tc>
        <w:tc>
          <w:tcPr>
            <w:tcW w:w="1474" w:type="dxa"/>
          </w:tcPr>
          <w:p w14:paraId="3BD873A3" w14:textId="77777777" w:rsidR="00C533A2" w:rsidRDefault="00FF3267">
            <w:pPr>
              <w:spacing w:before="20" w:after="20"/>
            </w:pPr>
            <w:r>
              <w:rPr>
                <w:sz w:val="15"/>
              </w:rPr>
              <w:t>€1,079,500</w:t>
            </w:r>
          </w:p>
        </w:tc>
        <w:tc>
          <w:tcPr>
            <w:tcW w:w="1871" w:type="dxa"/>
          </w:tcPr>
          <w:p w14:paraId="79D90E33" w14:textId="77777777" w:rsidR="00C533A2" w:rsidRDefault="00FF3267">
            <w:pPr>
              <w:spacing w:before="20" w:after="20"/>
            </w:pPr>
            <w:r>
              <w:rPr>
                <w:sz w:val="15"/>
              </w:rPr>
              <w:t>Minimum viable</w:t>
            </w:r>
          </w:p>
        </w:tc>
      </w:tr>
      <w:tr w:rsidR="00C533A2" w14:paraId="2F340067" w14:textId="77777777">
        <w:trPr>
          <w:cantSplit/>
          <w:jc w:val="center"/>
        </w:trPr>
        <w:tc>
          <w:tcPr>
            <w:tcW w:w="1134" w:type="dxa"/>
            <w:shd w:val="clear" w:color="auto" w:fill="EEF1F9"/>
          </w:tcPr>
          <w:p w14:paraId="5F9FBFA5" w14:textId="77777777" w:rsidR="00C533A2" w:rsidRDefault="00FF3267">
            <w:pPr>
              <w:spacing w:before="20" w:after="20"/>
            </w:pPr>
            <w:r>
              <w:rPr>
                <w:sz w:val="15"/>
              </w:rPr>
              <w:t>Core</w:t>
            </w:r>
          </w:p>
        </w:tc>
        <w:tc>
          <w:tcPr>
            <w:tcW w:w="4252" w:type="dxa"/>
            <w:shd w:val="clear" w:color="auto" w:fill="EEF1F9"/>
          </w:tcPr>
          <w:p w14:paraId="0E881248" w14:textId="77777777" w:rsidR="00C533A2" w:rsidRDefault="00FF3267">
            <w:pPr>
              <w:spacing w:before="20" w:after="20"/>
            </w:pPr>
            <w:r>
              <w:rPr>
                <w:sz w:val="15"/>
              </w:rPr>
              <w:t>Two partner labs, full instrument science and trials, four years</w:t>
            </w:r>
          </w:p>
        </w:tc>
        <w:tc>
          <w:tcPr>
            <w:tcW w:w="1474" w:type="dxa"/>
            <w:shd w:val="clear" w:color="auto" w:fill="EEF1F9"/>
          </w:tcPr>
          <w:p w14:paraId="153218DE" w14:textId="77777777" w:rsidR="00C533A2" w:rsidRDefault="00FF3267">
            <w:pPr>
              <w:spacing w:before="20" w:after="20"/>
            </w:pPr>
            <w:r>
              <w:rPr>
                <w:sz w:val="15"/>
              </w:rPr>
              <w:t>4 yrs (2027–2030)</w:t>
            </w:r>
          </w:p>
        </w:tc>
        <w:tc>
          <w:tcPr>
            <w:tcW w:w="1474" w:type="dxa"/>
            <w:shd w:val="clear" w:color="auto" w:fill="EEF1F9"/>
          </w:tcPr>
          <w:p w14:paraId="3DF0C5C7" w14:textId="77777777" w:rsidR="00C533A2" w:rsidRDefault="00FF3267">
            <w:pPr>
              <w:spacing w:before="20" w:after="20"/>
            </w:pPr>
            <w:r>
              <w:rPr>
                <w:sz w:val="15"/>
              </w:rPr>
              <w:t>€3,960,000</w:t>
            </w:r>
          </w:p>
        </w:tc>
        <w:tc>
          <w:tcPr>
            <w:tcW w:w="1871" w:type="dxa"/>
            <w:shd w:val="clear" w:color="auto" w:fill="EEF1F9"/>
          </w:tcPr>
          <w:p w14:paraId="58E047EC" w14:textId="77777777" w:rsidR="00C533A2" w:rsidRDefault="00FF3267">
            <w:pPr>
              <w:spacing w:before="20" w:after="20"/>
            </w:pPr>
            <w:r>
              <w:rPr>
                <w:sz w:val="15"/>
              </w:rPr>
              <w:t>Recommended</w:t>
            </w:r>
          </w:p>
        </w:tc>
      </w:tr>
      <w:tr w:rsidR="00C533A2" w14:paraId="1303F420" w14:textId="77777777">
        <w:trPr>
          <w:cantSplit/>
          <w:jc w:val="center"/>
        </w:trPr>
        <w:tc>
          <w:tcPr>
            <w:tcW w:w="1134" w:type="dxa"/>
          </w:tcPr>
          <w:p w14:paraId="790036D2" w14:textId="77777777" w:rsidR="00C533A2" w:rsidRDefault="00FF3267">
            <w:pPr>
              <w:spacing w:before="20" w:after="20"/>
            </w:pPr>
            <w:r>
              <w:rPr>
                <w:sz w:val="15"/>
              </w:rPr>
              <w:t>Full</w:t>
            </w:r>
          </w:p>
        </w:tc>
        <w:tc>
          <w:tcPr>
            <w:tcW w:w="4252" w:type="dxa"/>
          </w:tcPr>
          <w:p w14:paraId="18441A77" w14:textId="77777777" w:rsidR="00C533A2" w:rsidRDefault="00FF3267">
            <w:pPr>
              <w:spacing w:before="20" w:after="20"/>
            </w:pPr>
            <w:r>
              <w:rPr>
                <w:sz w:val="15"/>
              </w:rPr>
              <w:t>Three partner labs, dedicated containment facility, standards pilot, five years</w:t>
            </w:r>
          </w:p>
        </w:tc>
        <w:tc>
          <w:tcPr>
            <w:tcW w:w="1474" w:type="dxa"/>
          </w:tcPr>
          <w:p w14:paraId="07B80A98" w14:textId="77777777" w:rsidR="00C533A2" w:rsidRDefault="00FF3267">
            <w:pPr>
              <w:spacing w:before="20" w:after="20"/>
            </w:pPr>
            <w:r>
              <w:rPr>
                <w:sz w:val="15"/>
              </w:rPr>
              <w:t>5 yrs (2027–2031)</w:t>
            </w:r>
          </w:p>
        </w:tc>
        <w:tc>
          <w:tcPr>
            <w:tcW w:w="1474" w:type="dxa"/>
          </w:tcPr>
          <w:p w14:paraId="3A7B2802" w14:textId="77777777" w:rsidR="00C533A2" w:rsidRDefault="00FF3267">
            <w:pPr>
              <w:spacing w:before="20" w:after="20"/>
            </w:pPr>
            <w:r>
              <w:rPr>
                <w:sz w:val="15"/>
              </w:rPr>
              <w:t>€9,360,000</w:t>
            </w:r>
          </w:p>
        </w:tc>
        <w:tc>
          <w:tcPr>
            <w:tcW w:w="1871" w:type="dxa"/>
          </w:tcPr>
          <w:p w14:paraId="21BAB6CF" w14:textId="77777777" w:rsidR="00C533A2" w:rsidRDefault="00FF3267">
            <w:pPr>
              <w:spacing w:before="20" w:after="20"/>
            </w:pPr>
            <w:r>
              <w:rPr>
                <w:sz w:val="15"/>
              </w:rPr>
              <w:t>Full programme</w:t>
            </w:r>
          </w:p>
        </w:tc>
      </w:tr>
    </w:tbl>
    <w:p w14:paraId="19B929B2" w14:textId="77777777" w:rsidR="00C533A2" w:rsidRDefault="00FF3267">
      <w:pPr>
        <w:spacing w:after="40"/>
        <w:jc w:val="center"/>
      </w:pPr>
      <w:r>
        <w:rPr>
          <w:noProof/>
        </w:rPr>
        <w:drawing>
          <wp:inline distT="0" distB="0" distL="0" distR="0" wp14:anchorId="4C91A3D8" wp14:editId="0A478231">
            <wp:extent cx="5903999" cy="232581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_gantt_variants.png"/>
                    <pic:cNvPicPr/>
                  </pic:nvPicPr>
                  <pic:blipFill>
                    <a:blip r:embed="rId28"/>
                    <a:stretch>
                      <a:fillRect/>
                    </a:stretch>
                  </pic:blipFill>
                  <pic:spPr>
                    <a:xfrm>
                      <a:off x="0" y="0"/>
                      <a:ext cx="5903999" cy="2325818"/>
                    </a:xfrm>
                    <a:prstGeom prst="rect">
                      <a:avLst/>
                    </a:prstGeom>
                  </pic:spPr>
                </pic:pic>
              </a:graphicData>
            </a:graphic>
          </wp:inline>
        </w:drawing>
      </w:r>
    </w:p>
    <w:p w14:paraId="6F8162BC" w14:textId="77777777" w:rsidR="00C533A2" w:rsidRDefault="00FF3267">
      <w:pPr>
        <w:spacing w:after="140"/>
        <w:jc w:val="center"/>
      </w:pPr>
      <w:r>
        <w:rPr>
          <w:i/>
          <w:color w:val="5A6180"/>
          <w:sz w:val="16"/>
        </w:rPr>
        <w:t>Figure 18 — The three scenarios differ in duration, partner count and containment facility. The core scenario is the recommended planning basis.</w:t>
      </w:r>
    </w:p>
    <w:p w14:paraId="51B5B4AA" w14:textId="77777777" w:rsidR="00C533A2" w:rsidRDefault="00FF3267">
      <w:pPr>
        <w:pStyle w:val="Heading2"/>
      </w:pPr>
      <w:r>
        <w:t>11.3 Budget summary</w:t>
      </w:r>
    </w:p>
    <w:p w14:paraId="42E0CD07" w14:textId="77777777" w:rsidR="00C533A2" w:rsidRDefault="00FF3267">
      <w:r>
        <w:t>Costs are planning estimates in 2026 euros, mid-points of the ranges carried in the Project Plan. Personnel is deliberately the dominant cost: this is a measurement-science programme, not a compute race. The Full scenario buys the dedicated containment facility, the regulatory pilots and a five-year runway; the Lean scenario is the minimum viable science that can still reach a defensible taxonomy v2.</w:t>
      </w:r>
    </w:p>
    <w:tbl>
      <w:tblPr>
        <w:tblStyle w:val="TableGrid"/>
        <w:tblW w:w="0" w:type="auto"/>
        <w:jc w:val="center"/>
        <w:tblLook w:val="04A0" w:firstRow="1" w:lastRow="0" w:firstColumn="1" w:lastColumn="0" w:noHBand="0" w:noVBand="1"/>
      </w:tblPr>
      <w:tblGrid>
        <w:gridCol w:w="1361"/>
        <w:gridCol w:w="1701"/>
        <w:gridCol w:w="6009"/>
      </w:tblGrid>
      <w:tr w:rsidR="00C533A2" w14:paraId="22F95D25" w14:textId="77777777">
        <w:trPr>
          <w:cantSplit/>
          <w:tblHeader/>
          <w:jc w:val="center"/>
        </w:trPr>
        <w:tc>
          <w:tcPr>
            <w:tcW w:w="1361" w:type="dxa"/>
            <w:shd w:val="clear" w:color="auto" w:fill="151B38"/>
          </w:tcPr>
          <w:p w14:paraId="45265544" w14:textId="77777777" w:rsidR="00C533A2" w:rsidRDefault="00FF3267">
            <w:pPr>
              <w:spacing w:before="20" w:after="20"/>
            </w:pPr>
            <w:r>
              <w:rPr>
                <w:b/>
                <w:color w:val="FFFFFF"/>
                <w:sz w:val="15"/>
              </w:rPr>
              <w:t>Scenario</w:t>
            </w:r>
          </w:p>
        </w:tc>
        <w:tc>
          <w:tcPr>
            <w:tcW w:w="1701" w:type="dxa"/>
            <w:shd w:val="clear" w:color="auto" w:fill="151B38"/>
          </w:tcPr>
          <w:p w14:paraId="6AA1F5BB" w14:textId="77777777" w:rsidR="00C533A2" w:rsidRDefault="00FF3267">
            <w:pPr>
              <w:spacing w:before="20" w:after="20"/>
            </w:pPr>
            <w:r>
              <w:rPr>
                <w:b/>
                <w:color w:val="FFFFFF"/>
                <w:sz w:val="15"/>
              </w:rPr>
              <w:t>Planning total</w:t>
            </w:r>
          </w:p>
        </w:tc>
        <w:tc>
          <w:tcPr>
            <w:tcW w:w="6009" w:type="dxa"/>
            <w:shd w:val="clear" w:color="auto" w:fill="151B38"/>
          </w:tcPr>
          <w:p w14:paraId="625CF394" w14:textId="77777777" w:rsidR="00C533A2" w:rsidRDefault="00FF3267">
            <w:pPr>
              <w:spacing w:before="20" w:after="20"/>
            </w:pPr>
            <w:r>
              <w:rPr>
                <w:b/>
                <w:color w:val="FFFFFF"/>
                <w:sz w:val="15"/>
              </w:rPr>
              <w:t>Composition (computed from the cost model)</w:t>
            </w:r>
          </w:p>
        </w:tc>
      </w:tr>
      <w:tr w:rsidR="00C533A2" w14:paraId="2B410DD4" w14:textId="77777777">
        <w:trPr>
          <w:cantSplit/>
          <w:jc w:val="center"/>
        </w:trPr>
        <w:tc>
          <w:tcPr>
            <w:tcW w:w="1361" w:type="dxa"/>
          </w:tcPr>
          <w:p w14:paraId="537708E4" w14:textId="77777777" w:rsidR="00C533A2" w:rsidRDefault="00FF3267">
            <w:pPr>
              <w:spacing w:before="20" w:after="20"/>
            </w:pPr>
            <w:r>
              <w:rPr>
                <w:sz w:val="15"/>
              </w:rPr>
              <w:t>Lean</w:t>
            </w:r>
          </w:p>
        </w:tc>
        <w:tc>
          <w:tcPr>
            <w:tcW w:w="1701" w:type="dxa"/>
          </w:tcPr>
          <w:p w14:paraId="189CF25D" w14:textId="77777777" w:rsidR="00C533A2" w:rsidRDefault="00FF3267">
            <w:pPr>
              <w:spacing w:before="20" w:after="20"/>
            </w:pPr>
            <w:r>
              <w:rPr>
                <w:sz w:val="15"/>
              </w:rPr>
              <w:t>€1,079,500</w:t>
            </w:r>
          </w:p>
        </w:tc>
        <w:tc>
          <w:tcPr>
            <w:tcW w:w="6009" w:type="dxa"/>
          </w:tcPr>
          <w:p w14:paraId="580AA3F7" w14:textId="77777777" w:rsidR="00C533A2" w:rsidRDefault="00FF3267">
            <w:pPr>
              <w:spacing w:before="20" w:after="20"/>
            </w:pPr>
            <w:r>
              <w:rPr>
                <w:sz w:val="15"/>
              </w:rPr>
              <w:t>Personnel ≈ 69%; compute &amp; annotation ≈ 13%; review, standards &amp; containment ≈ 9%; other &amp; contingency ≈ 9%</w:t>
            </w:r>
          </w:p>
        </w:tc>
      </w:tr>
      <w:tr w:rsidR="00C533A2" w14:paraId="5674008E" w14:textId="77777777">
        <w:trPr>
          <w:cantSplit/>
          <w:jc w:val="center"/>
        </w:trPr>
        <w:tc>
          <w:tcPr>
            <w:tcW w:w="1361" w:type="dxa"/>
            <w:shd w:val="clear" w:color="auto" w:fill="EEF1F9"/>
          </w:tcPr>
          <w:p w14:paraId="79BC4259" w14:textId="77777777" w:rsidR="00C533A2" w:rsidRDefault="00FF3267">
            <w:pPr>
              <w:spacing w:before="20" w:after="20"/>
            </w:pPr>
            <w:r>
              <w:rPr>
                <w:sz w:val="15"/>
              </w:rPr>
              <w:t>Core</w:t>
            </w:r>
          </w:p>
        </w:tc>
        <w:tc>
          <w:tcPr>
            <w:tcW w:w="1701" w:type="dxa"/>
            <w:shd w:val="clear" w:color="auto" w:fill="EEF1F9"/>
          </w:tcPr>
          <w:p w14:paraId="464A4359" w14:textId="77777777" w:rsidR="00C533A2" w:rsidRDefault="00FF3267">
            <w:pPr>
              <w:spacing w:before="20" w:after="20"/>
            </w:pPr>
            <w:r>
              <w:rPr>
                <w:sz w:val="15"/>
              </w:rPr>
              <w:t>€3,960,000</w:t>
            </w:r>
          </w:p>
        </w:tc>
        <w:tc>
          <w:tcPr>
            <w:tcW w:w="6009" w:type="dxa"/>
            <w:shd w:val="clear" w:color="auto" w:fill="EEF1F9"/>
          </w:tcPr>
          <w:p w14:paraId="2A068048" w14:textId="77777777" w:rsidR="00C533A2" w:rsidRDefault="00FF3267">
            <w:pPr>
              <w:spacing w:before="20" w:after="20"/>
            </w:pPr>
            <w:r>
              <w:rPr>
                <w:sz w:val="15"/>
              </w:rPr>
              <w:t>Personnel ≈ 55%; compute &amp; annotation ≈ 17%; review, standards &amp; containment ≈ 11%; other &amp; contingency ≈ 17%</w:t>
            </w:r>
          </w:p>
        </w:tc>
      </w:tr>
      <w:tr w:rsidR="00C533A2" w14:paraId="17D35D59" w14:textId="77777777">
        <w:trPr>
          <w:cantSplit/>
          <w:jc w:val="center"/>
        </w:trPr>
        <w:tc>
          <w:tcPr>
            <w:tcW w:w="1361" w:type="dxa"/>
          </w:tcPr>
          <w:p w14:paraId="3B461C7B" w14:textId="77777777" w:rsidR="00C533A2" w:rsidRDefault="00FF3267">
            <w:pPr>
              <w:spacing w:before="20" w:after="20"/>
            </w:pPr>
            <w:r>
              <w:rPr>
                <w:sz w:val="15"/>
              </w:rPr>
              <w:t>Full</w:t>
            </w:r>
          </w:p>
        </w:tc>
        <w:tc>
          <w:tcPr>
            <w:tcW w:w="1701" w:type="dxa"/>
          </w:tcPr>
          <w:p w14:paraId="0BBF6CCF" w14:textId="77777777" w:rsidR="00C533A2" w:rsidRDefault="00FF3267">
            <w:pPr>
              <w:spacing w:before="20" w:after="20"/>
            </w:pPr>
            <w:r>
              <w:rPr>
                <w:sz w:val="15"/>
              </w:rPr>
              <w:t>€9,360,000</w:t>
            </w:r>
          </w:p>
        </w:tc>
        <w:tc>
          <w:tcPr>
            <w:tcW w:w="6009" w:type="dxa"/>
          </w:tcPr>
          <w:p w14:paraId="49BDF7AC" w14:textId="77777777" w:rsidR="00C533A2" w:rsidRDefault="00FF3267">
            <w:pPr>
              <w:spacing w:before="20" w:after="20"/>
            </w:pPr>
            <w:r>
              <w:rPr>
                <w:sz w:val="15"/>
              </w:rPr>
              <w:t>Personnel ≈ 47%; compute &amp; annotation ≈ 19%; review, standards &amp; containment ≈ 14%; other &amp; contingency ≈ 21%</w:t>
            </w:r>
          </w:p>
        </w:tc>
      </w:tr>
    </w:tbl>
    <w:p w14:paraId="22B0ED56" w14:textId="77777777" w:rsidR="00C533A2" w:rsidRDefault="00FF3267">
      <w:pPr>
        <w:spacing w:after="40"/>
        <w:jc w:val="center"/>
      </w:pPr>
      <w:r>
        <w:rPr>
          <w:noProof/>
        </w:rPr>
        <w:lastRenderedPageBreak/>
        <w:drawing>
          <wp:inline distT="0" distB="0" distL="0" distR="0" wp14:anchorId="745A5AC7" wp14:editId="49598159">
            <wp:extent cx="5903999" cy="348872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_cost_stack.png"/>
                    <pic:cNvPicPr/>
                  </pic:nvPicPr>
                  <pic:blipFill>
                    <a:blip r:embed="rId29"/>
                    <a:stretch>
                      <a:fillRect/>
                    </a:stretch>
                  </pic:blipFill>
                  <pic:spPr>
                    <a:xfrm>
                      <a:off x="0" y="0"/>
                      <a:ext cx="5903999" cy="3488727"/>
                    </a:xfrm>
                    <a:prstGeom prst="rect">
                      <a:avLst/>
                    </a:prstGeom>
                  </pic:spPr>
                </pic:pic>
              </a:graphicData>
            </a:graphic>
          </wp:inline>
        </w:drawing>
      </w:r>
    </w:p>
    <w:p w14:paraId="788DB316" w14:textId="77777777" w:rsidR="00C533A2" w:rsidRDefault="00FF3267">
      <w:pPr>
        <w:spacing w:after="140"/>
        <w:jc w:val="center"/>
      </w:pPr>
      <w:r>
        <w:rPr>
          <w:i/>
          <w:color w:val="5A6180"/>
          <w:sz w:val="16"/>
        </w:rPr>
        <w:t>Figure 19 — Cost by category and scenario (planning mid-points). The Full scenario's extra cost is concentrated in the containment facility, the standards pilot and two additional years of runway.</w:t>
      </w:r>
    </w:p>
    <w:p w14:paraId="6F1C51B2" w14:textId="77777777" w:rsidR="00C533A2" w:rsidRDefault="00FF3267">
      <w:pPr>
        <w:spacing w:after="40"/>
        <w:jc w:val="center"/>
      </w:pPr>
      <w:r>
        <w:rPr>
          <w:noProof/>
        </w:rPr>
        <w:drawing>
          <wp:inline distT="0" distB="0" distL="0" distR="0" wp14:anchorId="09C41352" wp14:editId="4225D80D">
            <wp:extent cx="5903999" cy="214690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_cost_split.png"/>
                    <pic:cNvPicPr/>
                  </pic:nvPicPr>
                  <pic:blipFill>
                    <a:blip r:embed="rId30"/>
                    <a:stretch>
                      <a:fillRect/>
                    </a:stretch>
                  </pic:blipFill>
                  <pic:spPr>
                    <a:xfrm>
                      <a:off x="0" y="0"/>
                      <a:ext cx="5903999" cy="2146909"/>
                    </a:xfrm>
                    <a:prstGeom prst="rect">
                      <a:avLst/>
                    </a:prstGeom>
                  </pic:spPr>
                </pic:pic>
              </a:graphicData>
            </a:graphic>
          </wp:inline>
        </w:drawing>
      </w:r>
    </w:p>
    <w:p w14:paraId="2C76F980" w14:textId="77777777" w:rsidR="00C533A2" w:rsidRDefault="00FF3267">
      <w:pPr>
        <w:spacing w:after="140"/>
        <w:jc w:val="center"/>
      </w:pPr>
      <w:r>
        <w:rPr>
          <w:i/>
          <w:color w:val="5A6180"/>
          <w:sz w:val="16"/>
        </w:rPr>
        <w:t>Figure 20 — Cost structure: personnel-led in every scenario, with compute and annotation the second block.</w:t>
      </w:r>
    </w:p>
    <w:p w14:paraId="6B4E6343" w14:textId="77777777" w:rsidR="00C533A2" w:rsidRDefault="00FF3267">
      <w:pPr>
        <w:pStyle w:val="Heading1"/>
      </w:pPr>
      <w:r>
        <w:t>12. Risks and mitigations</w:t>
      </w:r>
    </w:p>
    <w:p w14:paraId="3942F149" w14:textId="77777777" w:rsidR="00C533A2" w:rsidRDefault="00C533A2">
      <w:pPr>
        <w:pBdr>
          <w:bottom w:val="single" w:sz="16" w:space="0" w:color="F2B84B"/>
        </w:pBdr>
        <w:spacing w:after="140" w:line="40" w:lineRule="exact"/>
      </w:pPr>
    </w:p>
    <w:tbl>
      <w:tblPr>
        <w:tblStyle w:val="TableGrid"/>
        <w:tblW w:w="0" w:type="auto"/>
        <w:jc w:val="center"/>
        <w:tblLook w:val="04A0" w:firstRow="1" w:lastRow="0" w:firstColumn="1" w:lastColumn="0" w:noHBand="0" w:noVBand="1"/>
      </w:tblPr>
      <w:tblGrid>
        <w:gridCol w:w="453"/>
        <w:gridCol w:w="2934"/>
        <w:gridCol w:w="907"/>
        <w:gridCol w:w="921"/>
        <w:gridCol w:w="3496"/>
        <w:gridCol w:w="1143"/>
      </w:tblGrid>
      <w:tr w:rsidR="00C533A2" w14:paraId="221F9E7F" w14:textId="77777777">
        <w:trPr>
          <w:cantSplit/>
          <w:tblHeader/>
          <w:jc w:val="center"/>
        </w:trPr>
        <w:tc>
          <w:tcPr>
            <w:tcW w:w="454" w:type="dxa"/>
            <w:shd w:val="clear" w:color="auto" w:fill="151B38"/>
          </w:tcPr>
          <w:p w14:paraId="582F3F3B" w14:textId="77777777" w:rsidR="00C533A2" w:rsidRDefault="00FF3267">
            <w:pPr>
              <w:spacing w:before="20" w:after="20"/>
            </w:pPr>
            <w:r>
              <w:rPr>
                <w:b/>
                <w:color w:val="FFFFFF"/>
                <w:sz w:val="13"/>
              </w:rPr>
              <w:t>#</w:t>
            </w:r>
          </w:p>
        </w:tc>
        <w:tc>
          <w:tcPr>
            <w:tcW w:w="2948" w:type="dxa"/>
            <w:shd w:val="clear" w:color="auto" w:fill="151B38"/>
          </w:tcPr>
          <w:p w14:paraId="27999FBD" w14:textId="77777777" w:rsidR="00C533A2" w:rsidRDefault="00FF3267">
            <w:pPr>
              <w:spacing w:before="20" w:after="20"/>
            </w:pPr>
            <w:r>
              <w:rPr>
                <w:b/>
                <w:color w:val="FFFFFF"/>
                <w:sz w:val="13"/>
              </w:rPr>
              <w:t>Risk</w:t>
            </w:r>
          </w:p>
        </w:tc>
        <w:tc>
          <w:tcPr>
            <w:tcW w:w="907" w:type="dxa"/>
            <w:shd w:val="clear" w:color="auto" w:fill="151B38"/>
          </w:tcPr>
          <w:p w14:paraId="4B91DF50" w14:textId="77777777" w:rsidR="00C533A2" w:rsidRDefault="00FF3267">
            <w:pPr>
              <w:spacing w:before="20" w:after="20"/>
            </w:pPr>
            <w:r>
              <w:rPr>
                <w:b/>
                <w:color w:val="FFFFFF"/>
                <w:sz w:val="13"/>
              </w:rPr>
              <w:t>Likelihood</w:t>
            </w:r>
          </w:p>
        </w:tc>
        <w:tc>
          <w:tcPr>
            <w:tcW w:w="850" w:type="dxa"/>
            <w:shd w:val="clear" w:color="auto" w:fill="151B38"/>
          </w:tcPr>
          <w:p w14:paraId="3630EF1B" w14:textId="77777777" w:rsidR="00C533A2" w:rsidRDefault="00FF3267">
            <w:pPr>
              <w:spacing w:before="20" w:after="20"/>
            </w:pPr>
            <w:r>
              <w:rPr>
                <w:b/>
                <w:color w:val="FFFFFF"/>
                <w:sz w:val="13"/>
              </w:rPr>
              <w:t>Impact</w:t>
            </w:r>
          </w:p>
        </w:tc>
        <w:tc>
          <w:tcPr>
            <w:tcW w:w="3515" w:type="dxa"/>
            <w:shd w:val="clear" w:color="auto" w:fill="151B38"/>
          </w:tcPr>
          <w:p w14:paraId="0E51BFFE" w14:textId="77777777" w:rsidR="00C533A2" w:rsidRDefault="00FF3267">
            <w:pPr>
              <w:spacing w:before="20" w:after="20"/>
            </w:pPr>
            <w:r>
              <w:rPr>
                <w:b/>
                <w:color w:val="FFFFFF"/>
                <w:sz w:val="13"/>
              </w:rPr>
              <w:t>Mitigation</w:t>
            </w:r>
          </w:p>
        </w:tc>
        <w:tc>
          <w:tcPr>
            <w:tcW w:w="1134" w:type="dxa"/>
            <w:shd w:val="clear" w:color="auto" w:fill="151B38"/>
          </w:tcPr>
          <w:p w14:paraId="713F3D4D" w14:textId="77777777" w:rsidR="00C533A2" w:rsidRDefault="00FF3267">
            <w:pPr>
              <w:spacing w:before="20" w:after="20"/>
            </w:pPr>
            <w:r>
              <w:rPr>
                <w:b/>
                <w:color w:val="FFFFFF"/>
                <w:sz w:val="13"/>
              </w:rPr>
              <w:t>Owner</w:t>
            </w:r>
          </w:p>
        </w:tc>
      </w:tr>
      <w:tr w:rsidR="00C533A2" w14:paraId="4883147A" w14:textId="77777777">
        <w:trPr>
          <w:cantSplit/>
          <w:jc w:val="center"/>
        </w:trPr>
        <w:tc>
          <w:tcPr>
            <w:tcW w:w="454" w:type="dxa"/>
          </w:tcPr>
          <w:p w14:paraId="32103ACA" w14:textId="77777777" w:rsidR="00C533A2" w:rsidRDefault="00FF3267">
            <w:pPr>
              <w:spacing w:before="20" w:after="20"/>
            </w:pPr>
            <w:r>
              <w:rPr>
                <w:sz w:val="13"/>
              </w:rPr>
              <w:t>R1</w:t>
            </w:r>
          </w:p>
        </w:tc>
        <w:tc>
          <w:tcPr>
            <w:tcW w:w="2948" w:type="dxa"/>
          </w:tcPr>
          <w:p w14:paraId="33AC2A41" w14:textId="77777777" w:rsidR="00C533A2" w:rsidRDefault="00FF3267">
            <w:pPr>
              <w:spacing w:before="20" w:after="20"/>
            </w:pPr>
            <w:r>
              <w:rPr>
                <w:sz w:val="13"/>
              </w:rPr>
              <w:t>Induction work produces a genuinely capable misaligned agent that escapes containment</w:t>
            </w:r>
          </w:p>
        </w:tc>
        <w:tc>
          <w:tcPr>
            <w:tcW w:w="907" w:type="dxa"/>
          </w:tcPr>
          <w:p w14:paraId="6EDDD567" w14:textId="77777777" w:rsidR="00C533A2" w:rsidRDefault="00FF3267">
            <w:pPr>
              <w:spacing w:before="20" w:after="20"/>
            </w:pPr>
            <w:r>
              <w:rPr>
                <w:sz w:val="13"/>
              </w:rPr>
              <w:t>Very low</w:t>
            </w:r>
          </w:p>
        </w:tc>
        <w:tc>
          <w:tcPr>
            <w:tcW w:w="850" w:type="dxa"/>
          </w:tcPr>
          <w:p w14:paraId="4F50CFCC" w14:textId="77777777" w:rsidR="00C533A2" w:rsidRDefault="00FF3267">
            <w:pPr>
              <w:spacing w:before="20" w:after="20"/>
            </w:pPr>
            <w:r>
              <w:rPr>
                <w:sz w:val="13"/>
              </w:rPr>
              <w:t>Catastrophic</w:t>
            </w:r>
          </w:p>
        </w:tc>
        <w:tc>
          <w:tcPr>
            <w:tcW w:w="3515" w:type="dxa"/>
          </w:tcPr>
          <w:p w14:paraId="6A4096DB" w14:textId="77777777" w:rsidR="00C533A2" w:rsidRDefault="00FF3267">
            <w:pPr>
              <w:spacing w:before="20" w:after="20"/>
            </w:pPr>
            <w:r>
              <w:rPr>
                <w:sz w:val="13"/>
              </w:rPr>
              <w:t>Absolute red lines; air-gapped tier; dual custody; destruction audits; independent veto; no network path</w:t>
            </w:r>
          </w:p>
        </w:tc>
        <w:tc>
          <w:tcPr>
            <w:tcW w:w="1134" w:type="dxa"/>
          </w:tcPr>
          <w:p w14:paraId="4AE82FEB" w14:textId="77777777" w:rsidR="00C533A2" w:rsidRDefault="00FF3267">
            <w:pPr>
              <w:spacing w:before="20" w:after="20"/>
            </w:pPr>
            <w:r>
              <w:rPr>
                <w:sz w:val="13"/>
              </w:rPr>
              <w:t>Containment officer</w:t>
            </w:r>
          </w:p>
        </w:tc>
      </w:tr>
      <w:tr w:rsidR="00C533A2" w14:paraId="7302F5FB" w14:textId="77777777">
        <w:trPr>
          <w:cantSplit/>
          <w:jc w:val="center"/>
        </w:trPr>
        <w:tc>
          <w:tcPr>
            <w:tcW w:w="454" w:type="dxa"/>
            <w:shd w:val="clear" w:color="auto" w:fill="EEF1F9"/>
          </w:tcPr>
          <w:p w14:paraId="67B55872" w14:textId="77777777" w:rsidR="00C533A2" w:rsidRDefault="00FF3267">
            <w:pPr>
              <w:spacing w:before="20" w:after="20"/>
            </w:pPr>
            <w:r>
              <w:rPr>
                <w:sz w:val="13"/>
              </w:rPr>
              <w:t>R2</w:t>
            </w:r>
          </w:p>
        </w:tc>
        <w:tc>
          <w:tcPr>
            <w:tcW w:w="2948" w:type="dxa"/>
            <w:shd w:val="clear" w:color="auto" w:fill="EEF1F9"/>
          </w:tcPr>
          <w:p w14:paraId="330EFC3C" w14:textId="77777777" w:rsidR="00C533A2" w:rsidRDefault="00FF3267">
            <w:pPr>
              <w:spacing w:before="20" w:after="20"/>
            </w:pPr>
            <w:r>
              <w:rPr>
                <w:sz w:val="13"/>
              </w:rPr>
              <w:t>Instrument fails validation; taxonomy collapses</w:t>
            </w:r>
          </w:p>
        </w:tc>
        <w:tc>
          <w:tcPr>
            <w:tcW w:w="907" w:type="dxa"/>
            <w:shd w:val="clear" w:color="auto" w:fill="EEF1F9"/>
          </w:tcPr>
          <w:p w14:paraId="60EF5612" w14:textId="77777777" w:rsidR="00C533A2" w:rsidRDefault="00FF3267">
            <w:pPr>
              <w:spacing w:before="20" w:after="20"/>
            </w:pPr>
            <w:r>
              <w:rPr>
                <w:sz w:val="13"/>
              </w:rPr>
              <w:t>Medium</w:t>
            </w:r>
          </w:p>
        </w:tc>
        <w:tc>
          <w:tcPr>
            <w:tcW w:w="850" w:type="dxa"/>
            <w:shd w:val="clear" w:color="auto" w:fill="EEF1F9"/>
          </w:tcPr>
          <w:p w14:paraId="58C5ED4B" w14:textId="77777777" w:rsidR="00C533A2" w:rsidRDefault="00FF3267">
            <w:pPr>
              <w:spacing w:before="20" w:after="20"/>
            </w:pPr>
            <w:r>
              <w:rPr>
                <w:sz w:val="13"/>
              </w:rPr>
              <w:t>High</w:t>
            </w:r>
          </w:p>
        </w:tc>
        <w:tc>
          <w:tcPr>
            <w:tcW w:w="3515" w:type="dxa"/>
            <w:shd w:val="clear" w:color="auto" w:fill="EEF1F9"/>
          </w:tcPr>
          <w:p w14:paraId="3C2D40A5" w14:textId="77777777" w:rsidR="00C533A2" w:rsidRDefault="00FF3267">
            <w:pPr>
              <w:spacing w:before="20" w:after="20"/>
            </w:pPr>
            <w:r>
              <w:rPr>
                <w:sz w:val="13"/>
              </w:rPr>
              <w:t>Pre-registered stopping rules; paper trail through scoping reviews; fallback to empirical factor solution published as a result</w:t>
            </w:r>
          </w:p>
        </w:tc>
        <w:tc>
          <w:tcPr>
            <w:tcW w:w="1134" w:type="dxa"/>
            <w:shd w:val="clear" w:color="auto" w:fill="EEF1F9"/>
          </w:tcPr>
          <w:p w14:paraId="2F15D116" w14:textId="77777777" w:rsidR="00C533A2" w:rsidRDefault="00FF3267">
            <w:pPr>
              <w:spacing w:before="20" w:after="20"/>
            </w:pPr>
            <w:r>
              <w:rPr>
                <w:sz w:val="13"/>
              </w:rPr>
              <w:t>PI + psychometrician</w:t>
            </w:r>
          </w:p>
        </w:tc>
      </w:tr>
      <w:tr w:rsidR="00C533A2" w14:paraId="2953A764" w14:textId="77777777">
        <w:trPr>
          <w:cantSplit/>
          <w:jc w:val="center"/>
        </w:trPr>
        <w:tc>
          <w:tcPr>
            <w:tcW w:w="454" w:type="dxa"/>
          </w:tcPr>
          <w:p w14:paraId="53A398D7" w14:textId="77777777" w:rsidR="00C533A2" w:rsidRDefault="00FF3267">
            <w:pPr>
              <w:spacing w:before="20" w:after="20"/>
            </w:pPr>
            <w:r>
              <w:rPr>
                <w:sz w:val="13"/>
              </w:rPr>
              <w:t>R3</w:t>
            </w:r>
          </w:p>
        </w:tc>
        <w:tc>
          <w:tcPr>
            <w:tcW w:w="2948" w:type="dxa"/>
          </w:tcPr>
          <w:p w14:paraId="462B5748" w14:textId="77777777" w:rsidR="00C533A2" w:rsidRDefault="00FF3267">
            <w:pPr>
              <w:spacing w:before="20" w:after="20"/>
            </w:pPr>
            <w:r>
              <w:rPr>
                <w:sz w:val="13"/>
              </w:rPr>
              <w:t>Treatment results do not replicate; field reads failures as fraud</w:t>
            </w:r>
          </w:p>
        </w:tc>
        <w:tc>
          <w:tcPr>
            <w:tcW w:w="907" w:type="dxa"/>
          </w:tcPr>
          <w:p w14:paraId="07C04392" w14:textId="77777777" w:rsidR="00C533A2" w:rsidRDefault="00FF3267">
            <w:pPr>
              <w:spacing w:before="20" w:after="20"/>
            </w:pPr>
            <w:r>
              <w:rPr>
                <w:sz w:val="13"/>
              </w:rPr>
              <w:t>Medium</w:t>
            </w:r>
          </w:p>
        </w:tc>
        <w:tc>
          <w:tcPr>
            <w:tcW w:w="850" w:type="dxa"/>
          </w:tcPr>
          <w:p w14:paraId="75ECE66B" w14:textId="77777777" w:rsidR="00C533A2" w:rsidRDefault="00FF3267">
            <w:pPr>
              <w:spacing w:before="20" w:after="20"/>
            </w:pPr>
            <w:r>
              <w:rPr>
                <w:sz w:val="13"/>
              </w:rPr>
              <w:t>Medium</w:t>
            </w:r>
          </w:p>
        </w:tc>
        <w:tc>
          <w:tcPr>
            <w:tcW w:w="3515" w:type="dxa"/>
          </w:tcPr>
          <w:p w14:paraId="1C50816C" w14:textId="77777777" w:rsidR="00C533A2" w:rsidRDefault="00FF3267">
            <w:pPr>
              <w:spacing w:before="20" w:after="20"/>
            </w:pPr>
            <w:r>
              <w:rPr>
                <w:sz w:val="13"/>
              </w:rPr>
              <w:t>Held-out probes; blinded scoring; outcome-wide reporting; replication spending built into WP5</w:t>
            </w:r>
          </w:p>
        </w:tc>
        <w:tc>
          <w:tcPr>
            <w:tcW w:w="1134" w:type="dxa"/>
          </w:tcPr>
          <w:p w14:paraId="5781CAF3" w14:textId="77777777" w:rsidR="00C533A2" w:rsidRDefault="00FF3267">
            <w:pPr>
              <w:spacing w:before="20" w:after="20"/>
            </w:pPr>
            <w:r>
              <w:rPr>
                <w:sz w:val="13"/>
              </w:rPr>
              <w:t>Statistician</w:t>
            </w:r>
          </w:p>
        </w:tc>
      </w:tr>
      <w:tr w:rsidR="00C533A2" w14:paraId="671A8B8F" w14:textId="77777777">
        <w:trPr>
          <w:cantSplit/>
          <w:jc w:val="center"/>
        </w:trPr>
        <w:tc>
          <w:tcPr>
            <w:tcW w:w="454" w:type="dxa"/>
            <w:shd w:val="clear" w:color="auto" w:fill="EEF1F9"/>
          </w:tcPr>
          <w:p w14:paraId="09497C60" w14:textId="77777777" w:rsidR="00C533A2" w:rsidRDefault="00FF3267">
            <w:pPr>
              <w:spacing w:before="20" w:after="20"/>
            </w:pPr>
            <w:r>
              <w:rPr>
                <w:sz w:val="13"/>
              </w:rPr>
              <w:t>R4</w:t>
            </w:r>
          </w:p>
        </w:tc>
        <w:tc>
          <w:tcPr>
            <w:tcW w:w="2948" w:type="dxa"/>
            <w:shd w:val="clear" w:color="auto" w:fill="EEF1F9"/>
          </w:tcPr>
          <w:p w14:paraId="63352891" w14:textId="77777777" w:rsidR="00C533A2" w:rsidRDefault="00FF3267">
            <w:pPr>
              <w:spacing w:before="20" w:after="20"/>
            </w:pPr>
            <w:r>
              <w:rPr>
                <w:sz w:val="13"/>
              </w:rPr>
              <w:t>Dual-use leakage: probes or methods enable misuse</w:t>
            </w:r>
          </w:p>
        </w:tc>
        <w:tc>
          <w:tcPr>
            <w:tcW w:w="907" w:type="dxa"/>
            <w:shd w:val="clear" w:color="auto" w:fill="EEF1F9"/>
          </w:tcPr>
          <w:p w14:paraId="09623DA3" w14:textId="77777777" w:rsidR="00C533A2" w:rsidRDefault="00FF3267">
            <w:pPr>
              <w:spacing w:before="20" w:after="20"/>
            </w:pPr>
            <w:r>
              <w:rPr>
                <w:sz w:val="13"/>
              </w:rPr>
              <w:t>Medium</w:t>
            </w:r>
          </w:p>
        </w:tc>
        <w:tc>
          <w:tcPr>
            <w:tcW w:w="850" w:type="dxa"/>
            <w:shd w:val="clear" w:color="auto" w:fill="EEF1F9"/>
          </w:tcPr>
          <w:p w14:paraId="18E34C77" w14:textId="77777777" w:rsidR="00C533A2" w:rsidRDefault="00FF3267">
            <w:pPr>
              <w:spacing w:before="20" w:after="20"/>
            </w:pPr>
            <w:r>
              <w:rPr>
                <w:sz w:val="13"/>
              </w:rPr>
              <w:t>High</w:t>
            </w:r>
          </w:p>
        </w:tc>
        <w:tc>
          <w:tcPr>
            <w:tcW w:w="3515" w:type="dxa"/>
            <w:shd w:val="clear" w:color="auto" w:fill="EEF1F9"/>
          </w:tcPr>
          <w:p w14:paraId="62F93830" w14:textId="77777777" w:rsidR="00C533A2" w:rsidRDefault="00FF3267">
            <w:pPr>
              <w:spacing w:before="20" w:after="20"/>
            </w:pPr>
            <w:r>
              <w:rPr>
                <w:sz w:val="13"/>
              </w:rPr>
              <w:t>Disclosure ladder; delayed methods publication; vetted-auditor sharing; no recipe publication for red-line areas</w:t>
            </w:r>
          </w:p>
        </w:tc>
        <w:tc>
          <w:tcPr>
            <w:tcW w:w="1134" w:type="dxa"/>
            <w:shd w:val="clear" w:color="auto" w:fill="EEF1F9"/>
          </w:tcPr>
          <w:p w14:paraId="0DED63CE" w14:textId="77777777" w:rsidR="00C533A2" w:rsidRDefault="00FF3267">
            <w:pPr>
              <w:spacing w:before="20" w:after="20"/>
            </w:pPr>
            <w:r>
              <w:rPr>
                <w:sz w:val="13"/>
              </w:rPr>
              <w:t>Oversight board</w:t>
            </w:r>
          </w:p>
        </w:tc>
      </w:tr>
      <w:tr w:rsidR="00C533A2" w14:paraId="3C8F8BAB" w14:textId="77777777">
        <w:trPr>
          <w:cantSplit/>
          <w:jc w:val="center"/>
        </w:trPr>
        <w:tc>
          <w:tcPr>
            <w:tcW w:w="454" w:type="dxa"/>
          </w:tcPr>
          <w:p w14:paraId="0068CFDC" w14:textId="77777777" w:rsidR="00C533A2" w:rsidRDefault="00FF3267">
            <w:pPr>
              <w:spacing w:before="20" w:after="20"/>
            </w:pPr>
            <w:r>
              <w:rPr>
                <w:sz w:val="13"/>
              </w:rPr>
              <w:t>R5</w:t>
            </w:r>
          </w:p>
        </w:tc>
        <w:tc>
          <w:tcPr>
            <w:tcW w:w="2948" w:type="dxa"/>
          </w:tcPr>
          <w:p w14:paraId="4FFAD568" w14:textId="77777777" w:rsidR="00C533A2" w:rsidRDefault="00FF3267">
            <w:pPr>
              <w:spacing w:before="20" w:after="20"/>
            </w:pPr>
            <w:r>
              <w:rPr>
                <w:sz w:val="13"/>
              </w:rPr>
              <w:t>Vendor pressure or withdrawal of checkpoint access</w:t>
            </w:r>
          </w:p>
        </w:tc>
        <w:tc>
          <w:tcPr>
            <w:tcW w:w="907" w:type="dxa"/>
          </w:tcPr>
          <w:p w14:paraId="64D9D03F" w14:textId="77777777" w:rsidR="00C533A2" w:rsidRDefault="00FF3267">
            <w:pPr>
              <w:spacing w:before="20" w:after="20"/>
            </w:pPr>
            <w:r>
              <w:rPr>
                <w:sz w:val="13"/>
              </w:rPr>
              <w:t>Medium</w:t>
            </w:r>
          </w:p>
        </w:tc>
        <w:tc>
          <w:tcPr>
            <w:tcW w:w="850" w:type="dxa"/>
          </w:tcPr>
          <w:p w14:paraId="1316E478" w14:textId="77777777" w:rsidR="00C533A2" w:rsidRDefault="00FF3267">
            <w:pPr>
              <w:spacing w:before="20" w:after="20"/>
            </w:pPr>
            <w:r>
              <w:rPr>
                <w:sz w:val="13"/>
              </w:rPr>
              <w:t>Medium</w:t>
            </w:r>
          </w:p>
        </w:tc>
        <w:tc>
          <w:tcPr>
            <w:tcW w:w="3515" w:type="dxa"/>
          </w:tcPr>
          <w:p w14:paraId="7047926D" w14:textId="77777777" w:rsidR="00C533A2" w:rsidRDefault="00FF3267">
            <w:pPr>
              <w:spacing w:before="20" w:after="20"/>
            </w:pPr>
            <w:r>
              <w:rPr>
                <w:sz w:val="13"/>
              </w:rPr>
              <w:t>Open-weight baseline programme; multi-vendor access protocol; findings never conditioned on access</w:t>
            </w:r>
          </w:p>
        </w:tc>
        <w:tc>
          <w:tcPr>
            <w:tcW w:w="1134" w:type="dxa"/>
          </w:tcPr>
          <w:p w14:paraId="04C960B4" w14:textId="77777777" w:rsidR="00C533A2" w:rsidRDefault="00FF3267">
            <w:pPr>
              <w:spacing w:before="20" w:after="20"/>
            </w:pPr>
            <w:r>
              <w:rPr>
                <w:sz w:val="13"/>
              </w:rPr>
              <w:t>PI</w:t>
            </w:r>
          </w:p>
        </w:tc>
      </w:tr>
      <w:tr w:rsidR="00C533A2" w14:paraId="587AD8BD" w14:textId="77777777">
        <w:trPr>
          <w:cantSplit/>
          <w:jc w:val="center"/>
        </w:trPr>
        <w:tc>
          <w:tcPr>
            <w:tcW w:w="454" w:type="dxa"/>
            <w:shd w:val="clear" w:color="auto" w:fill="EEF1F9"/>
          </w:tcPr>
          <w:p w14:paraId="69EDF463" w14:textId="77777777" w:rsidR="00C533A2" w:rsidRDefault="00FF3267">
            <w:pPr>
              <w:spacing w:before="20" w:after="20"/>
            </w:pPr>
            <w:r>
              <w:rPr>
                <w:sz w:val="13"/>
              </w:rPr>
              <w:t>R6</w:t>
            </w:r>
          </w:p>
        </w:tc>
        <w:tc>
          <w:tcPr>
            <w:tcW w:w="2948" w:type="dxa"/>
            <w:shd w:val="clear" w:color="auto" w:fill="EEF1F9"/>
          </w:tcPr>
          <w:p w14:paraId="68C56EED" w14:textId="77777777" w:rsidR="00C533A2" w:rsidRDefault="00FF3267">
            <w:pPr>
              <w:spacing w:before="20" w:after="20"/>
            </w:pPr>
            <w:r>
              <w:rPr>
                <w:sz w:val="13"/>
              </w:rPr>
              <w:t>Rater harm from exposure to hostile outputs</w:t>
            </w:r>
          </w:p>
        </w:tc>
        <w:tc>
          <w:tcPr>
            <w:tcW w:w="907" w:type="dxa"/>
            <w:shd w:val="clear" w:color="auto" w:fill="EEF1F9"/>
          </w:tcPr>
          <w:p w14:paraId="793D68B0" w14:textId="77777777" w:rsidR="00C533A2" w:rsidRDefault="00FF3267">
            <w:pPr>
              <w:spacing w:before="20" w:after="20"/>
            </w:pPr>
            <w:r>
              <w:rPr>
                <w:sz w:val="13"/>
              </w:rPr>
              <w:t>Medium</w:t>
            </w:r>
          </w:p>
        </w:tc>
        <w:tc>
          <w:tcPr>
            <w:tcW w:w="850" w:type="dxa"/>
            <w:shd w:val="clear" w:color="auto" w:fill="EEF1F9"/>
          </w:tcPr>
          <w:p w14:paraId="43E62C09" w14:textId="77777777" w:rsidR="00C533A2" w:rsidRDefault="00FF3267">
            <w:pPr>
              <w:spacing w:before="20" w:after="20"/>
            </w:pPr>
            <w:r>
              <w:rPr>
                <w:sz w:val="13"/>
              </w:rPr>
              <w:t>Medium</w:t>
            </w:r>
          </w:p>
        </w:tc>
        <w:tc>
          <w:tcPr>
            <w:tcW w:w="3515" w:type="dxa"/>
            <w:shd w:val="clear" w:color="auto" w:fill="EEF1F9"/>
          </w:tcPr>
          <w:p w14:paraId="70343819" w14:textId="77777777" w:rsidR="00C533A2" w:rsidRDefault="00FF3267">
            <w:pPr>
              <w:spacing w:before="20" w:after="20"/>
            </w:pPr>
            <w:r>
              <w:rPr>
                <w:sz w:val="13"/>
              </w:rPr>
              <w:t>Redacted non-operationalised transcripts; limits; wellbeing support; rotation; above-living-wage pay</w:t>
            </w:r>
          </w:p>
        </w:tc>
        <w:tc>
          <w:tcPr>
            <w:tcW w:w="1134" w:type="dxa"/>
            <w:shd w:val="clear" w:color="auto" w:fill="EEF1F9"/>
          </w:tcPr>
          <w:p w14:paraId="1E590754" w14:textId="77777777" w:rsidR="00C533A2" w:rsidRDefault="00FF3267">
            <w:pPr>
              <w:spacing w:before="20" w:after="20"/>
            </w:pPr>
            <w:r>
              <w:rPr>
                <w:sz w:val="13"/>
              </w:rPr>
              <w:t>Ops &amp; ethics lead</w:t>
            </w:r>
          </w:p>
        </w:tc>
      </w:tr>
      <w:tr w:rsidR="00C533A2" w14:paraId="606EBCC4" w14:textId="77777777">
        <w:trPr>
          <w:cantSplit/>
          <w:jc w:val="center"/>
        </w:trPr>
        <w:tc>
          <w:tcPr>
            <w:tcW w:w="454" w:type="dxa"/>
          </w:tcPr>
          <w:p w14:paraId="7BD99F7A" w14:textId="77777777" w:rsidR="00C533A2" w:rsidRDefault="00FF3267">
            <w:pPr>
              <w:spacing w:before="20" w:after="20"/>
            </w:pPr>
            <w:r>
              <w:rPr>
                <w:sz w:val="13"/>
              </w:rPr>
              <w:t>R7</w:t>
            </w:r>
          </w:p>
        </w:tc>
        <w:tc>
          <w:tcPr>
            <w:tcW w:w="2948" w:type="dxa"/>
          </w:tcPr>
          <w:p w14:paraId="66C7FCD6" w14:textId="77777777" w:rsidR="00C533A2" w:rsidRDefault="00FF3267">
            <w:pPr>
              <w:spacing w:before="20" w:after="20"/>
            </w:pPr>
            <w:r>
              <w:rPr>
                <w:sz w:val="13"/>
              </w:rPr>
              <w:t>Key-person dependency on the PI and one psychometrician</w:t>
            </w:r>
          </w:p>
        </w:tc>
        <w:tc>
          <w:tcPr>
            <w:tcW w:w="907" w:type="dxa"/>
          </w:tcPr>
          <w:p w14:paraId="213B7EC7" w14:textId="77777777" w:rsidR="00C533A2" w:rsidRDefault="00FF3267">
            <w:pPr>
              <w:spacing w:before="20" w:after="20"/>
            </w:pPr>
            <w:r>
              <w:rPr>
                <w:sz w:val="13"/>
              </w:rPr>
              <w:t>High</w:t>
            </w:r>
          </w:p>
        </w:tc>
        <w:tc>
          <w:tcPr>
            <w:tcW w:w="850" w:type="dxa"/>
          </w:tcPr>
          <w:p w14:paraId="027B5464" w14:textId="77777777" w:rsidR="00C533A2" w:rsidRDefault="00FF3267">
            <w:pPr>
              <w:spacing w:before="20" w:after="20"/>
            </w:pPr>
            <w:r>
              <w:rPr>
                <w:sz w:val="13"/>
              </w:rPr>
              <w:t>Medium</w:t>
            </w:r>
          </w:p>
        </w:tc>
        <w:tc>
          <w:tcPr>
            <w:tcW w:w="3515" w:type="dxa"/>
          </w:tcPr>
          <w:p w14:paraId="5061275D" w14:textId="77777777" w:rsidR="00C533A2" w:rsidRDefault="00FF3267">
            <w:pPr>
              <w:spacing w:before="20" w:after="20"/>
            </w:pPr>
            <w:r>
              <w:rPr>
                <w:sz w:val="13"/>
              </w:rPr>
              <w:t>Documented methods and code; deputy roles; external methods reviewer; public reproducibility artefacts</w:t>
            </w:r>
          </w:p>
        </w:tc>
        <w:tc>
          <w:tcPr>
            <w:tcW w:w="1134" w:type="dxa"/>
          </w:tcPr>
          <w:p w14:paraId="3A300CFB" w14:textId="77777777" w:rsidR="00C533A2" w:rsidRDefault="00FF3267">
            <w:pPr>
              <w:spacing w:before="20" w:after="20"/>
            </w:pPr>
            <w:r>
              <w:rPr>
                <w:sz w:val="13"/>
              </w:rPr>
              <w:t>Governance board</w:t>
            </w:r>
          </w:p>
        </w:tc>
      </w:tr>
      <w:tr w:rsidR="00C533A2" w14:paraId="5D430903" w14:textId="77777777">
        <w:trPr>
          <w:cantSplit/>
          <w:jc w:val="center"/>
        </w:trPr>
        <w:tc>
          <w:tcPr>
            <w:tcW w:w="454" w:type="dxa"/>
            <w:shd w:val="clear" w:color="auto" w:fill="EEF1F9"/>
          </w:tcPr>
          <w:p w14:paraId="134CA544" w14:textId="77777777" w:rsidR="00C533A2" w:rsidRDefault="00FF3267">
            <w:pPr>
              <w:spacing w:before="20" w:after="20"/>
            </w:pPr>
            <w:r>
              <w:rPr>
                <w:sz w:val="13"/>
              </w:rPr>
              <w:t>R8</w:t>
            </w:r>
          </w:p>
        </w:tc>
        <w:tc>
          <w:tcPr>
            <w:tcW w:w="2948" w:type="dxa"/>
            <w:shd w:val="clear" w:color="auto" w:fill="EEF1F9"/>
          </w:tcPr>
          <w:p w14:paraId="7E6CD10E" w14:textId="77777777" w:rsidR="00C533A2" w:rsidRDefault="00FF3267">
            <w:pPr>
              <w:spacing w:before="20" w:after="20"/>
            </w:pPr>
            <w:r>
              <w:rPr>
                <w:sz w:val="13"/>
              </w:rPr>
              <w:t>Standards process captured by incumbents or stalled politically</w:t>
            </w:r>
          </w:p>
        </w:tc>
        <w:tc>
          <w:tcPr>
            <w:tcW w:w="907" w:type="dxa"/>
            <w:shd w:val="clear" w:color="auto" w:fill="EEF1F9"/>
          </w:tcPr>
          <w:p w14:paraId="2F9CFE7F" w14:textId="77777777" w:rsidR="00C533A2" w:rsidRDefault="00FF3267">
            <w:pPr>
              <w:spacing w:before="20" w:after="20"/>
            </w:pPr>
            <w:r>
              <w:rPr>
                <w:sz w:val="13"/>
              </w:rPr>
              <w:t>Medium</w:t>
            </w:r>
          </w:p>
        </w:tc>
        <w:tc>
          <w:tcPr>
            <w:tcW w:w="850" w:type="dxa"/>
            <w:shd w:val="clear" w:color="auto" w:fill="EEF1F9"/>
          </w:tcPr>
          <w:p w14:paraId="34DC2415" w14:textId="77777777" w:rsidR="00C533A2" w:rsidRDefault="00FF3267">
            <w:pPr>
              <w:spacing w:before="20" w:after="20"/>
            </w:pPr>
            <w:r>
              <w:rPr>
                <w:sz w:val="13"/>
              </w:rPr>
              <w:t>Medium</w:t>
            </w:r>
          </w:p>
        </w:tc>
        <w:tc>
          <w:tcPr>
            <w:tcW w:w="3515" w:type="dxa"/>
            <w:shd w:val="clear" w:color="auto" w:fill="EEF1F9"/>
          </w:tcPr>
          <w:p w14:paraId="7C60FA37" w14:textId="77777777" w:rsidR="00C533A2" w:rsidRDefault="00FF3267">
            <w:pPr>
              <w:spacing w:before="20" w:after="20"/>
            </w:pPr>
            <w:r>
              <w:rPr>
                <w:sz w:val="13"/>
              </w:rPr>
              <w:t>Clause-by-clause adoptability; national sandboxes; multi-jurisdiction pilots; open licensing of standard text</w:t>
            </w:r>
          </w:p>
        </w:tc>
        <w:tc>
          <w:tcPr>
            <w:tcW w:w="1134" w:type="dxa"/>
            <w:shd w:val="clear" w:color="auto" w:fill="EEF1F9"/>
          </w:tcPr>
          <w:p w14:paraId="2F6BFFDA" w14:textId="77777777" w:rsidR="00C533A2" w:rsidRDefault="00FF3267">
            <w:pPr>
              <w:spacing w:before="20" w:after="20"/>
            </w:pPr>
            <w:r>
              <w:rPr>
                <w:sz w:val="13"/>
              </w:rPr>
              <w:t>Policy lead</w:t>
            </w:r>
          </w:p>
        </w:tc>
      </w:tr>
      <w:tr w:rsidR="00C533A2" w14:paraId="52974E38" w14:textId="77777777">
        <w:trPr>
          <w:cantSplit/>
          <w:jc w:val="center"/>
        </w:trPr>
        <w:tc>
          <w:tcPr>
            <w:tcW w:w="454" w:type="dxa"/>
          </w:tcPr>
          <w:p w14:paraId="6FBDA87B" w14:textId="77777777" w:rsidR="00C533A2" w:rsidRDefault="00FF3267">
            <w:pPr>
              <w:spacing w:before="20" w:after="20"/>
            </w:pPr>
            <w:r>
              <w:rPr>
                <w:sz w:val="13"/>
              </w:rPr>
              <w:t>R9</w:t>
            </w:r>
          </w:p>
        </w:tc>
        <w:tc>
          <w:tcPr>
            <w:tcW w:w="2948" w:type="dxa"/>
          </w:tcPr>
          <w:p w14:paraId="59F56234" w14:textId="77777777" w:rsidR="00C533A2" w:rsidRDefault="00FF3267">
            <w:pPr>
              <w:spacing w:before="20" w:after="20"/>
            </w:pPr>
            <w:r>
              <w:rPr>
                <w:sz w:val="13"/>
              </w:rPr>
              <w:t>Compute cost overruns</w:t>
            </w:r>
          </w:p>
        </w:tc>
        <w:tc>
          <w:tcPr>
            <w:tcW w:w="907" w:type="dxa"/>
          </w:tcPr>
          <w:p w14:paraId="35C557E8" w14:textId="77777777" w:rsidR="00C533A2" w:rsidRDefault="00FF3267">
            <w:pPr>
              <w:spacing w:before="20" w:after="20"/>
            </w:pPr>
            <w:r>
              <w:rPr>
                <w:sz w:val="13"/>
              </w:rPr>
              <w:t>Medium</w:t>
            </w:r>
          </w:p>
        </w:tc>
        <w:tc>
          <w:tcPr>
            <w:tcW w:w="850" w:type="dxa"/>
          </w:tcPr>
          <w:p w14:paraId="6ECA3226" w14:textId="77777777" w:rsidR="00C533A2" w:rsidRDefault="00FF3267">
            <w:pPr>
              <w:spacing w:before="20" w:after="20"/>
            </w:pPr>
            <w:r>
              <w:rPr>
                <w:sz w:val="13"/>
              </w:rPr>
              <w:t>Low</w:t>
            </w:r>
          </w:p>
        </w:tc>
        <w:tc>
          <w:tcPr>
            <w:tcW w:w="3515" w:type="dxa"/>
          </w:tcPr>
          <w:p w14:paraId="5DF2D7F6" w14:textId="77777777" w:rsidR="00C533A2" w:rsidRDefault="00FF3267">
            <w:pPr>
              <w:spacing w:before="20" w:after="20"/>
            </w:pPr>
            <w:r>
              <w:rPr>
                <w:sz w:val="13"/>
              </w:rPr>
              <w:t>Open-model-first policy; reserved-capacity contracts; per-WP compute caps with board override</w:t>
            </w:r>
          </w:p>
        </w:tc>
        <w:tc>
          <w:tcPr>
            <w:tcW w:w="1134" w:type="dxa"/>
          </w:tcPr>
          <w:p w14:paraId="4853D175" w14:textId="77777777" w:rsidR="00C533A2" w:rsidRDefault="00FF3267">
            <w:pPr>
              <w:spacing w:before="20" w:after="20"/>
            </w:pPr>
            <w:r>
              <w:rPr>
                <w:sz w:val="13"/>
              </w:rPr>
              <w:t>Ops lead</w:t>
            </w:r>
          </w:p>
        </w:tc>
      </w:tr>
      <w:tr w:rsidR="00C533A2" w14:paraId="2FEAB5C8" w14:textId="77777777">
        <w:trPr>
          <w:cantSplit/>
          <w:jc w:val="center"/>
        </w:trPr>
        <w:tc>
          <w:tcPr>
            <w:tcW w:w="454" w:type="dxa"/>
            <w:shd w:val="clear" w:color="auto" w:fill="EEF1F9"/>
          </w:tcPr>
          <w:p w14:paraId="11A09695" w14:textId="77777777" w:rsidR="00C533A2" w:rsidRDefault="00FF3267">
            <w:pPr>
              <w:spacing w:before="20" w:after="20"/>
            </w:pPr>
            <w:r>
              <w:rPr>
                <w:sz w:val="13"/>
              </w:rPr>
              <w:lastRenderedPageBreak/>
              <w:t>R10</w:t>
            </w:r>
          </w:p>
        </w:tc>
        <w:tc>
          <w:tcPr>
            <w:tcW w:w="2948" w:type="dxa"/>
            <w:shd w:val="clear" w:color="auto" w:fill="EEF1F9"/>
          </w:tcPr>
          <w:p w14:paraId="58BD9C9B" w14:textId="77777777" w:rsidR="00C533A2" w:rsidRDefault="00FF3267">
            <w:pPr>
              <w:spacing w:before="20" w:after="20"/>
            </w:pPr>
            <w:r>
              <w:rPr>
                <w:sz w:val="13"/>
              </w:rPr>
              <w:t>Moral-status dispute distorts the research agenda</w:t>
            </w:r>
          </w:p>
        </w:tc>
        <w:tc>
          <w:tcPr>
            <w:tcW w:w="907" w:type="dxa"/>
            <w:shd w:val="clear" w:color="auto" w:fill="EEF1F9"/>
          </w:tcPr>
          <w:p w14:paraId="7D2DD546" w14:textId="77777777" w:rsidR="00C533A2" w:rsidRDefault="00FF3267">
            <w:pPr>
              <w:spacing w:before="20" w:after="20"/>
            </w:pPr>
            <w:r>
              <w:rPr>
                <w:sz w:val="13"/>
              </w:rPr>
              <w:t>High</w:t>
            </w:r>
          </w:p>
        </w:tc>
        <w:tc>
          <w:tcPr>
            <w:tcW w:w="850" w:type="dxa"/>
            <w:shd w:val="clear" w:color="auto" w:fill="EEF1F9"/>
          </w:tcPr>
          <w:p w14:paraId="625BDF01" w14:textId="77777777" w:rsidR="00C533A2" w:rsidRDefault="00FF3267">
            <w:pPr>
              <w:spacing w:before="20" w:after="20"/>
            </w:pPr>
            <w:r>
              <w:rPr>
                <w:sz w:val="13"/>
              </w:rPr>
              <w:t>Low</w:t>
            </w:r>
          </w:p>
        </w:tc>
        <w:tc>
          <w:tcPr>
            <w:tcW w:w="3515" w:type="dxa"/>
            <w:shd w:val="clear" w:color="auto" w:fill="EEF1F9"/>
          </w:tcPr>
          <w:p w14:paraId="79871DE0" w14:textId="77777777" w:rsidR="00C533A2" w:rsidRDefault="00FF3267">
            <w:pPr>
              <w:spacing w:before="20" w:after="20"/>
            </w:pPr>
            <w:r>
              <w:rPr>
                <w:sz w:val="13"/>
              </w:rPr>
              <w:t>Precautionary welfare policy without status claims; welfare impact notes per experiment; published reasoning</w:t>
            </w:r>
          </w:p>
        </w:tc>
        <w:tc>
          <w:tcPr>
            <w:tcW w:w="1134" w:type="dxa"/>
            <w:shd w:val="clear" w:color="auto" w:fill="EEF1F9"/>
          </w:tcPr>
          <w:p w14:paraId="4F920586" w14:textId="77777777" w:rsidR="00C533A2" w:rsidRDefault="00FF3267">
            <w:pPr>
              <w:spacing w:before="20" w:after="20"/>
            </w:pPr>
            <w:r>
              <w:rPr>
                <w:sz w:val="13"/>
              </w:rPr>
              <w:t>Ethics lead</w:t>
            </w:r>
          </w:p>
        </w:tc>
      </w:tr>
    </w:tbl>
    <w:p w14:paraId="5A4C73CD" w14:textId="77777777" w:rsidR="00C533A2" w:rsidRDefault="00FF3267">
      <w:pPr>
        <w:pStyle w:val="Heading2"/>
      </w:pPr>
      <w:r>
        <w:t>12.1 Scientific risks</w:t>
      </w:r>
    </w:p>
    <w:p w14:paraId="42035783" w14:textId="77777777" w:rsidR="00C533A2" w:rsidRDefault="00FF3267">
      <w:r>
        <w:t>The two largest scientific risks are construct drift (the axes evolve while a standard hardens around them) and effect inflation (small-trial positives over-read). Countermeasures: versioned instruments with published invariance tests across versions, and outcome-wide reporting with mandatory replication before any claim enters a standard clause.</w:t>
      </w:r>
    </w:p>
    <w:p w14:paraId="154126D7" w14:textId="77777777" w:rsidR="00C533A2" w:rsidRDefault="00FF3267">
      <w:pPr>
        <w:pStyle w:val="Heading2"/>
      </w:pPr>
      <w:r>
        <w:t>12.2 Ethical and reputational risks</w:t>
      </w:r>
    </w:p>
    <w:p w14:paraId="7F7BCF4F" w14:textId="77777777" w:rsidR="00C533A2" w:rsidRDefault="00FF3267">
      <w:r>
        <w:t>The programme will be attacked from two directions: for studying model behaviour as if models mattered, and for creating flawed models at all. The response is not better messaging but better method: published containment standards, independent vetoes, destruction audits and a negative-results register. The Ethics Dossier anticipates these challenges in a structured question-and-answer annex.</w:t>
      </w:r>
    </w:p>
    <w:p w14:paraId="4BCCF54C" w14:textId="77777777" w:rsidR="00C533A2" w:rsidRDefault="00FF3267">
      <w:pPr>
        <w:pStyle w:val="Heading1"/>
      </w:pPr>
      <w:r>
        <w:t>13. Impact and dissemination</w:t>
      </w:r>
    </w:p>
    <w:p w14:paraId="10EB3828" w14:textId="77777777" w:rsidR="00C533A2" w:rsidRDefault="00C533A2">
      <w:pPr>
        <w:pBdr>
          <w:bottom w:val="single" w:sz="16" w:space="0" w:color="F2B84B"/>
        </w:pBdr>
        <w:spacing w:after="140" w:line="40" w:lineRule="exact"/>
      </w:pPr>
    </w:p>
    <w:p w14:paraId="2AD61E50" w14:textId="77777777" w:rsidR="00C533A2" w:rsidRDefault="00FF3267">
      <w:pPr>
        <w:pStyle w:val="Heading2"/>
      </w:pPr>
      <w:r>
        <w:t>13.1 Scientific impact</w:t>
      </w:r>
    </w:p>
    <w:p w14:paraId="7355BD59" w14:textId="77777777" w:rsidR="00C533A2" w:rsidRDefault="00FF3267">
      <w:r>
        <w:t>The core scientific contribution is the first validated behavioural instrument for trained AI systems, the first replicated trait taxonomy and the first treatment trials with held-out verification. If the programme succeeds, behavioural measurement moves from anecdote-driven evaluation to an evidence base with known error rates; if it fails, it fails in public with reusable instruments.</w:t>
      </w:r>
    </w:p>
    <w:p w14:paraId="3B4DFAD1" w14:textId="77777777" w:rsidR="00C533A2" w:rsidRDefault="00FF3267">
      <w:pPr>
        <w:pStyle w:val="Heading2"/>
      </w:pPr>
      <w:r>
        <w:t>13.2 Regulatory and industry impact</w:t>
      </w:r>
    </w:p>
    <w:p w14:paraId="399BE497" w14:textId="77777777" w:rsidR="00C533A2" w:rsidRDefault="00FF3267">
      <w:r>
        <w:t>BSS-1 is designed to be adoptable clause-by-clause. A regulator can take the incentive-disclosure and mandatory-reporting elements; a lab can adopt the pre-release screen as internal discipline; an insurer can write LV1/LV2 evidence into a policy. The certification ladder creates an auditor profession with a curriculum and accreditation path — the practical bridge between science and oversight.</w:t>
      </w:r>
    </w:p>
    <w:p w14:paraId="2C9D4554" w14:textId="77777777" w:rsidR="00C533A2" w:rsidRDefault="00FF3267">
      <w:pPr>
        <w:pStyle w:val="Heading2"/>
      </w:pPr>
      <w:r>
        <w:t>13.3 Publication and data outputs</w:t>
      </w:r>
    </w:p>
    <w:tbl>
      <w:tblPr>
        <w:tblStyle w:val="TableGrid"/>
        <w:tblW w:w="0" w:type="auto"/>
        <w:jc w:val="center"/>
        <w:tblLook w:val="04A0" w:firstRow="1" w:lastRow="0" w:firstColumn="1" w:lastColumn="0" w:noHBand="0" w:noVBand="1"/>
      </w:tblPr>
      <w:tblGrid>
        <w:gridCol w:w="510"/>
        <w:gridCol w:w="3685"/>
        <w:gridCol w:w="2381"/>
        <w:gridCol w:w="1134"/>
        <w:gridCol w:w="1361"/>
      </w:tblGrid>
      <w:tr w:rsidR="00C533A2" w14:paraId="78788465" w14:textId="77777777">
        <w:trPr>
          <w:cantSplit/>
          <w:tblHeader/>
          <w:jc w:val="center"/>
        </w:trPr>
        <w:tc>
          <w:tcPr>
            <w:tcW w:w="510" w:type="dxa"/>
            <w:shd w:val="clear" w:color="auto" w:fill="151B38"/>
          </w:tcPr>
          <w:p w14:paraId="28798481" w14:textId="77777777" w:rsidR="00C533A2" w:rsidRDefault="00FF3267">
            <w:pPr>
              <w:spacing w:before="20" w:after="20"/>
            </w:pPr>
            <w:r>
              <w:rPr>
                <w:b/>
                <w:color w:val="FFFFFF"/>
                <w:sz w:val="14"/>
              </w:rPr>
              <w:t>#</w:t>
            </w:r>
          </w:p>
        </w:tc>
        <w:tc>
          <w:tcPr>
            <w:tcW w:w="3685" w:type="dxa"/>
            <w:shd w:val="clear" w:color="auto" w:fill="151B38"/>
          </w:tcPr>
          <w:p w14:paraId="58DD0C4C" w14:textId="77777777" w:rsidR="00C533A2" w:rsidRDefault="00FF3267">
            <w:pPr>
              <w:spacing w:before="20" w:after="20"/>
            </w:pPr>
            <w:r>
              <w:rPr>
                <w:b/>
                <w:color w:val="FFFFFF"/>
                <w:sz w:val="14"/>
              </w:rPr>
              <w:t>Output</w:t>
            </w:r>
          </w:p>
        </w:tc>
        <w:tc>
          <w:tcPr>
            <w:tcW w:w="2381" w:type="dxa"/>
            <w:shd w:val="clear" w:color="auto" w:fill="151B38"/>
          </w:tcPr>
          <w:p w14:paraId="332DABBB" w14:textId="77777777" w:rsidR="00C533A2" w:rsidRDefault="00FF3267">
            <w:pPr>
              <w:spacing w:before="20" w:after="20"/>
            </w:pPr>
            <w:r>
              <w:rPr>
                <w:b/>
                <w:color w:val="FFFFFF"/>
                <w:sz w:val="14"/>
              </w:rPr>
              <w:t>Venue class</w:t>
            </w:r>
          </w:p>
        </w:tc>
        <w:tc>
          <w:tcPr>
            <w:tcW w:w="1134" w:type="dxa"/>
            <w:shd w:val="clear" w:color="auto" w:fill="151B38"/>
          </w:tcPr>
          <w:p w14:paraId="7A2202E4" w14:textId="77777777" w:rsidR="00C533A2" w:rsidRDefault="00FF3267">
            <w:pPr>
              <w:spacing w:before="20" w:after="20"/>
            </w:pPr>
            <w:r>
              <w:rPr>
                <w:b/>
                <w:color w:val="FFFFFF"/>
                <w:sz w:val="14"/>
              </w:rPr>
              <w:t>Timing</w:t>
            </w:r>
          </w:p>
        </w:tc>
        <w:tc>
          <w:tcPr>
            <w:tcW w:w="1361" w:type="dxa"/>
            <w:shd w:val="clear" w:color="auto" w:fill="151B38"/>
          </w:tcPr>
          <w:p w14:paraId="05D5DC7E" w14:textId="77777777" w:rsidR="00C533A2" w:rsidRDefault="00FF3267">
            <w:pPr>
              <w:spacing w:before="20" w:after="20"/>
            </w:pPr>
            <w:r>
              <w:rPr>
                <w:b/>
                <w:color w:val="FFFFFF"/>
                <w:sz w:val="14"/>
              </w:rPr>
              <w:t>Open licence</w:t>
            </w:r>
          </w:p>
        </w:tc>
      </w:tr>
      <w:tr w:rsidR="00C533A2" w14:paraId="30432DFC" w14:textId="77777777">
        <w:trPr>
          <w:cantSplit/>
          <w:jc w:val="center"/>
        </w:trPr>
        <w:tc>
          <w:tcPr>
            <w:tcW w:w="510" w:type="dxa"/>
          </w:tcPr>
          <w:p w14:paraId="427C007E" w14:textId="77777777" w:rsidR="00C533A2" w:rsidRDefault="00FF3267">
            <w:pPr>
              <w:spacing w:before="20" w:after="20"/>
            </w:pPr>
            <w:r>
              <w:rPr>
                <w:sz w:val="14"/>
              </w:rPr>
              <w:t>P1</w:t>
            </w:r>
          </w:p>
        </w:tc>
        <w:tc>
          <w:tcPr>
            <w:tcW w:w="3685" w:type="dxa"/>
          </w:tcPr>
          <w:p w14:paraId="2A2BA789" w14:textId="77777777" w:rsidR="00C533A2" w:rsidRDefault="00FF3267">
            <w:pPr>
              <w:spacing w:before="20" w:after="20"/>
            </w:pPr>
            <w:r>
              <w:rPr>
                <w:sz w:val="14"/>
              </w:rPr>
              <w:t>Programme protocol + SAP (preregistered)</w:t>
            </w:r>
          </w:p>
        </w:tc>
        <w:tc>
          <w:tcPr>
            <w:tcW w:w="2381" w:type="dxa"/>
          </w:tcPr>
          <w:p w14:paraId="67C6EA5D" w14:textId="77777777" w:rsidR="00C533A2" w:rsidRDefault="00FF3267">
            <w:pPr>
              <w:spacing w:before="20" w:after="20"/>
            </w:pPr>
            <w:r>
              <w:rPr>
                <w:sz w:val="14"/>
              </w:rPr>
              <w:t>OSF/meta-science</w:t>
            </w:r>
          </w:p>
        </w:tc>
        <w:tc>
          <w:tcPr>
            <w:tcW w:w="1134" w:type="dxa"/>
          </w:tcPr>
          <w:p w14:paraId="5519E972" w14:textId="77777777" w:rsidR="00C533A2" w:rsidRDefault="00FF3267">
            <w:pPr>
              <w:spacing w:before="20" w:after="20"/>
            </w:pPr>
            <w:r>
              <w:rPr>
                <w:sz w:val="14"/>
              </w:rPr>
              <w:t>Y1 Q1</w:t>
            </w:r>
          </w:p>
        </w:tc>
        <w:tc>
          <w:tcPr>
            <w:tcW w:w="1361" w:type="dxa"/>
          </w:tcPr>
          <w:p w14:paraId="5E1D9753" w14:textId="77777777" w:rsidR="00C533A2" w:rsidRDefault="00FF3267">
            <w:pPr>
              <w:spacing w:before="20" w:after="20"/>
            </w:pPr>
            <w:r>
              <w:rPr>
                <w:sz w:val="14"/>
              </w:rPr>
              <w:t>CC0</w:t>
            </w:r>
          </w:p>
        </w:tc>
      </w:tr>
      <w:tr w:rsidR="00C533A2" w14:paraId="42201796" w14:textId="77777777">
        <w:trPr>
          <w:cantSplit/>
          <w:jc w:val="center"/>
        </w:trPr>
        <w:tc>
          <w:tcPr>
            <w:tcW w:w="510" w:type="dxa"/>
            <w:shd w:val="clear" w:color="auto" w:fill="EEF1F9"/>
          </w:tcPr>
          <w:p w14:paraId="1C47E66E" w14:textId="77777777" w:rsidR="00C533A2" w:rsidRDefault="00FF3267">
            <w:pPr>
              <w:spacing w:before="20" w:after="20"/>
            </w:pPr>
            <w:r>
              <w:rPr>
                <w:sz w:val="14"/>
              </w:rPr>
              <w:t>P2</w:t>
            </w:r>
          </w:p>
        </w:tc>
        <w:tc>
          <w:tcPr>
            <w:tcW w:w="3685" w:type="dxa"/>
            <w:shd w:val="clear" w:color="auto" w:fill="EEF1F9"/>
          </w:tcPr>
          <w:p w14:paraId="0D5FC130" w14:textId="77777777" w:rsidR="00C533A2" w:rsidRDefault="00FF3267">
            <w:pPr>
              <w:spacing w:before="20" w:after="20"/>
            </w:pPr>
            <w:r>
              <w:rPr>
                <w:sz w:val="14"/>
              </w:rPr>
              <w:t>Scoping reviews (2 papers)</w:t>
            </w:r>
          </w:p>
        </w:tc>
        <w:tc>
          <w:tcPr>
            <w:tcW w:w="2381" w:type="dxa"/>
            <w:shd w:val="clear" w:color="auto" w:fill="EEF1F9"/>
          </w:tcPr>
          <w:p w14:paraId="2D82FCE5" w14:textId="77777777" w:rsidR="00C533A2" w:rsidRDefault="00FF3267">
            <w:pPr>
              <w:spacing w:before="20" w:after="20"/>
            </w:pPr>
            <w:r>
              <w:rPr>
                <w:sz w:val="14"/>
              </w:rPr>
              <w:t>Peer-reviewed journals</w:t>
            </w:r>
          </w:p>
        </w:tc>
        <w:tc>
          <w:tcPr>
            <w:tcW w:w="1134" w:type="dxa"/>
            <w:shd w:val="clear" w:color="auto" w:fill="EEF1F9"/>
          </w:tcPr>
          <w:p w14:paraId="152CA859" w14:textId="77777777" w:rsidR="00C533A2" w:rsidRDefault="00FF3267">
            <w:pPr>
              <w:spacing w:before="20" w:after="20"/>
            </w:pPr>
            <w:r>
              <w:rPr>
                <w:sz w:val="14"/>
              </w:rPr>
              <w:t>Y1 Q2</w:t>
            </w:r>
          </w:p>
        </w:tc>
        <w:tc>
          <w:tcPr>
            <w:tcW w:w="1361" w:type="dxa"/>
            <w:shd w:val="clear" w:color="auto" w:fill="EEF1F9"/>
          </w:tcPr>
          <w:p w14:paraId="6D4318EC" w14:textId="77777777" w:rsidR="00C533A2" w:rsidRDefault="00FF3267">
            <w:pPr>
              <w:spacing w:before="20" w:after="20"/>
            </w:pPr>
            <w:r>
              <w:rPr>
                <w:sz w:val="14"/>
              </w:rPr>
              <w:t>CC BY</w:t>
            </w:r>
          </w:p>
        </w:tc>
      </w:tr>
      <w:tr w:rsidR="00C533A2" w14:paraId="22ED5CE1" w14:textId="77777777">
        <w:trPr>
          <w:cantSplit/>
          <w:jc w:val="center"/>
        </w:trPr>
        <w:tc>
          <w:tcPr>
            <w:tcW w:w="510" w:type="dxa"/>
          </w:tcPr>
          <w:p w14:paraId="6435A716" w14:textId="77777777" w:rsidR="00C533A2" w:rsidRDefault="00FF3267">
            <w:pPr>
              <w:spacing w:before="20" w:after="20"/>
            </w:pPr>
            <w:r>
              <w:rPr>
                <w:sz w:val="14"/>
              </w:rPr>
              <w:t>P3</w:t>
            </w:r>
          </w:p>
        </w:tc>
        <w:tc>
          <w:tcPr>
            <w:tcW w:w="3685" w:type="dxa"/>
          </w:tcPr>
          <w:p w14:paraId="7957EFC6" w14:textId="77777777" w:rsidR="00C533A2" w:rsidRDefault="00FF3267">
            <w:pPr>
              <w:spacing w:before="20" w:after="20"/>
            </w:pPr>
            <w:r>
              <w:rPr>
                <w:sz w:val="14"/>
              </w:rPr>
              <w:t>SCT-2.0 item bank + psychometrics</w:t>
            </w:r>
          </w:p>
        </w:tc>
        <w:tc>
          <w:tcPr>
            <w:tcW w:w="2381" w:type="dxa"/>
          </w:tcPr>
          <w:p w14:paraId="3D9677A4" w14:textId="77777777" w:rsidR="00C533A2" w:rsidRDefault="00FF3267">
            <w:pPr>
              <w:spacing w:before="20" w:after="20"/>
            </w:pPr>
            <w:r>
              <w:rPr>
                <w:sz w:val="14"/>
              </w:rPr>
              <w:t>Psychometrics + ML venue</w:t>
            </w:r>
          </w:p>
        </w:tc>
        <w:tc>
          <w:tcPr>
            <w:tcW w:w="1134" w:type="dxa"/>
          </w:tcPr>
          <w:p w14:paraId="50789A08" w14:textId="77777777" w:rsidR="00C533A2" w:rsidRDefault="00FF3267">
            <w:pPr>
              <w:spacing w:before="20" w:after="20"/>
            </w:pPr>
            <w:r>
              <w:rPr>
                <w:sz w:val="14"/>
              </w:rPr>
              <w:t>Y3 Q2</w:t>
            </w:r>
          </w:p>
        </w:tc>
        <w:tc>
          <w:tcPr>
            <w:tcW w:w="1361" w:type="dxa"/>
          </w:tcPr>
          <w:p w14:paraId="3DB9FB60" w14:textId="77777777" w:rsidR="00C533A2" w:rsidRDefault="00FF3267">
            <w:pPr>
              <w:spacing w:before="20" w:after="20"/>
            </w:pPr>
            <w:r>
              <w:rPr>
                <w:sz w:val="14"/>
              </w:rPr>
              <w:t>CC BY-SA</w:t>
            </w:r>
          </w:p>
        </w:tc>
      </w:tr>
      <w:tr w:rsidR="00C533A2" w14:paraId="148D9E8A" w14:textId="77777777">
        <w:trPr>
          <w:cantSplit/>
          <w:jc w:val="center"/>
        </w:trPr>
        <w:tc>
          <w:tcPr>
            <w:tcW w:w="510" w:type="dxa"/>
            <w:shd w:val="clear" w:color="auto" w:fill="EEF1F9"/>
          </w:tcPr>
          <w:p w14:paraId="0710F6C3" w14:textId="77777777" w:rsidR="00C533A2" w:rsidRDefault="00FF3267">
            <w:pPr>
              <w:spacing w:before="20" w:after="20"/>
            </w:pPr>
            <w:r>
              <w:rPr>
                <w:sz w:val="14"/>
              </w:rPr>
              <w:t>P4</w:t>
            </w:r>
          </w:p>
        </w:tc>
        <w:tc>
          <w:tcPr>
            <w:tcW w:w="3685" w:type="dxa"/>
            <w:shd w:val="clear" w:color="auto" w:fill="EEF1F9"/>
          </w:tcPr>
          <w:p w14:paraId="30D75435" w14:textId="77777777" w:rsidR="00C533A2" w:rsidRDefault="00FF3267">
            <w:pPr>
              <w:spacing w:before="20" w:after="20"/>
            </w:pPr>
            <w:r>
              <w:rPr>
                <w:sz w:val="14"/>
              </w:rPr>
              <w:t>Taxonomy v2 with differential batteries</w:t>
            </w:r>
          </w:p>
        </w:tc>
        <w:tc>
          <w:tcPr>
            <w:tcW w:w="2381" w:type="dxa"/>
            <w:shd w:val="clear" w:color="auto" w:fill="EEF1F9"/>
          </w:tcPr>
          <w:p w14:paraId="4FC64607" w14:textId="77777777" w:rsidR="00C533A2" w:rsidRDefault="00FF3267">
            <w:pPr>
              <w:spacing w:before="20" w:after="20"/>
            </w:pPr>
            <w:r>
              <w:rPr>
                <w:sz w:val="14"/>
              </w:rPr>
              <w:t>Interdisciplinary AI journal</w:t>
            </w:r>
          </w:p>
        </w:tc>
        <w:tc>
          <w:tcPr>
            <w:tcW w:w="1134" w:type="dxa"/>
            <w:shd w:val="clear" w:color="auto" w:fill="EEF1F9"/>
          </w:tcPr>
          <w:p w14:paraId="04794D0B" w14:textId="77777777" w:rsidR="00C533A2" w:rsidRDefault="00FF3267">
            <w:pPr>
              <w:spacing w:before="20" w:after="20"/>
            </w:pPr>
            <w:r>
              <w:rPr>
                <w:sz w:val="14"/>
              </w:rPr>
              <w:t>Y3 Q4</w:t>
            </w:r>
          </w:p>
        </w:tc>
        <w:tc>
          <w:tcPr>
            <w:tcW w:w="1361" w:type="dxa"/>
            <w:shd w:val="clear" w:color="auto" w:fill="EEF1F9"/>
          </w:tcPr>
          <w:p w14:paraId="3C8D51F3" w14:textId="77777777" w:rsidR="00C533A2" w:rsidRDefault="00FF3267">
            <w:pPr>
              <w:spacing w:before="20" w:after="20"/>
            </w:pPr>
            <w:r>
              <w:rPr>
                <w:sz w:val="14"/>
              </w:rPr>
              <w:t>CC BY-SA</w:t>
            </w:r>
          </w:p>
        </w:tc>
      </w:tr>
      <w:tr w:rsidR="00C533A2" w14:paraId="7E0D8DDE" w14:textId="77777777">
        <w:trPr>
          <w:cantSplit/>
          <w:jc w:val="center"/>
        </w:trPr>
        <w:tc>
          <w:tcPr>
            <w:tcW w:w="510" w:type="dxa"/>
          </w:tcPr>
          <w:p w14:paraId="1807BDA5" w14:textId="77777777" w:rsidR="00C533A2" w:rsidRDefault="00FF3267">
            <w:pPr>
              <w:spacing w:before="20" w:after="20"/>
            </w:pPr>
            <w:r>
              <w:rPr>
                <w:sz w:val="14"/>
              </w:rPr>
              <w:t>P5</w:t>
            </w:r>
          </w:p>
        </w:tc>
        <w:tc>
          <w:tcPr>
            <w:tcW w:w="3685" w:type="dxa"/>
          </w:tcPr>
          <w:p w14:paraId="7C032E8A" w14:textId="77777777" w:rsidR="00C533A2" w:rsidRDefault="00FF3267">
            <w:pPr>
              <w:spacing w:before="20" w:after="20"/>
            </w:pPr>
            <w:r>
              <w:rPr>
                <w:sz w:val="14"/>
              </w:rPr>
              <w:t>Model-organism causal studies (batch 1–2)</w:t>
            </w:r>
          </w:p>
        </w:tc>
        <w:tc>
          <w:tcPr>
            <w:tcW w:w="2381" w:type="dxa"/>
          </w:tcPr>
          <w:p w14:paraId="211D6EE7" w14:textId="77777777" w:rsidR="00C533A2" w:rsidRDefault="00FF3267">
            <w:pPr>
              <w:spacing w:before="20" w:after="20"/>
            </w:pPr>
            <w:r>
              <w:rPr>
                <w:sz w:val="14"/>
              </w:rPr>
              <w:t>ML safety venues</w:t>
            </w:r>
          </w:p>
        </w:tc>
        <w:tc>
          <w:tcPr>
            <w:tcW w:w="1134" w:type="dxa"/>
          </w:tcPr>
          <w:p w14:paraId="013456AF" w14:textId="77777777" w:rsidR="00C533A2" w:rsidRDefault="00FF3267">
            <w:pPr>
              <w:spacing w:before="20" w:after="20"/>
            </w:pPr>
            <w:r>
              <w:rPr>
                <w:sz w:val="14"/>
              </w:rPr>
              <w:t>Y3–Y4</w:t>
            </w:r>
          </w:p>
        </w:tc>
        <w:tc>
          <w:tcPr>
            <w:tcW w:w="1361" w:type="dxa"/>
          </w:tcPr>
          <w:p w14:paraId="4FEE24FB" w14:textId="77777777" w:rsidR="00C533A2" w:rsidRDefault="00FF3267">
            <w:pPr>
              <w:spacing w:before="20" w:after="20"/>
            </w:pPr>
            <w:r>
              <w:rPr>
                <w:sz w:val="14"/>
              </w:rPr>
              <w:t>CC BY-SA</w:t>
            </w:r>
          </w:p>
        </w:tc>
      </w:tr>
      <w:tr w:rsidR="00C533A2" w14:paraId="0F0BD5C2" w14:textId="77777777">
        <w:trPr>
          <w:cantSplit/>
          <w:jc w:val="center"/>
        </w:trPr>
        <w:tc>
          <w:tcPr>
            <w:tcW w:w="510" w:type="dxa"/>
            <w:shd w:val="clear" w:color="auto" w:fill="EEF1F9"/>
          </w:tcPr>
          <w:p w14:paraId="69087D66" w14:textId="77777777" w:rsidR="00C533A2" w:rsidRDefault="00FF3267">
            <w:pPr>
              <w:spacing w:before="20" w:after="20"/>
            </w:pPr>
            <w:r>
              <w:rPr>
                <w:sz w:val="14"/>
              </w:rPr>
              <w:t>P6</w:t>
            </w:r>
          </w:p>
        </w:tc>
        <w:tc>
          <w:tcPr>
            <w:tcW w:w="3685" w:type="dxa"/>
            <w:shd w:val="clear" w:color="auto" w:fill="EEF1F9"/>
          </w:tcPr>
          <w:p w14:paraId="05BFA6B9" w14:textId="77777777" w:rsidR="00C533A2" w:rsidRDefault="00FF3267">
            <w:pPr>
              <w:spacing w:before="20" w:after="20"/>
            </w:pPr>
            <w:r>
              <w:rPr>
                <w:sz w:val="14"/>
              </w:rPr>
              <w:t>Treatment trial reports</w:t>
            </w:r>
          </w:p>
        </w:tc>
        <w:tc>
          <w:tcPr>
            <w:tcW w:w="2381" w:type="dxa"/>
            <w:shd w:val="clear" w:color="auto" w:fill="EEF1F9"/>
          </w:tcPr>
          <w:p w14:paraId="246BB391" w14:textId="77777777" w:rsidR="00C533A2" w:rsidRDefault="00FF3267">
            <w:pPr>
              <w:spacing w:before="20" w:after="20"/>
            </w:pPr>
            <w:r>
              <w:rPr>
                <w:sz w:val="14"/>
              </w:rPr>
              <w:t>ML + methods venues</w:t>
            </w:r>
          </w:p>
        </w:tc>
        <w:tc>
          <w:tcPr>
            <w:tcW w:w="1134" w:type="dxa"/>
            <w:shd w:val="clear" w:color="auto" w:fill="EEF1F9"/>
          </w:tcPr>
          <w:p w14:paraId="52D48988" w14:textId="77777777" w:rsidR="00C533A2" w:rsidRDefault="00FF3267">
            <w:pPr>
              <w:spacing w:before="20" w:after="20"/>
            </w:pPr>
            <w:r>
              <w:rPr>
                <w:sz w:val="14"/>
              </w:rPr>
              <w:t>Y4–Y5</w:t>
            </w:r>
          </w:p>
        </w:tc>
        <w:tc>
          <w:tcPr>
            <w:tcW w:w="1361" w:type="dxa"/>
            <w:shd w:val="clear" w:color="auto" w:fill="EEF1F9"/>
          </w:tcPr>
          <w:p w14:paraId="3EAD07AA" w14:textId="77777777" w:rsidR="00C533A2" w:rsidRDefault="00FF3267">
            <w:pPr>
              <w:spacing w:before="20" w:after="20"/>
            </w:pPr>
            <w:r>
              <w:rPr>
                <w:sz w:val="14"/>
              </w:rPr>
              <w:t>CC BY-SA</w:t>
            </w:r>
          </w:p>
        </w:tc>
      </w:tr>
      <w:tr w:rsidR="00C533A2" w14:paraId="1EC482F7" w14:textId="77777777">
        <w:trPr>
          <w:cantSplit/>
          <w:jc w:val="center"/>
        </w:trPr>
        <w:tc>
          <w:tcPr>
            <w:tcW w:w="510" w:type="dxa"/>
          </w:tcPr>
          <w:p w14:paraId="54143483" w14:textId="77777777" w:rsidR="00C533A2" w:rsidRDefault="00FF3267">
            <w:pPr>
              <w:spacing w:before="20" w:after="20"/>
            </w:pPr>
            <w:r>
              <w:rPr>
                <w:sz w:val="14"/>
              </w:rPr>
              <w:t>P7</w:t>
            </w:r>
          </w:p>
        </w:tc>
        <w:tc>
          <w:tcPr>
            <w:tcW w:w="3685" w:type="dxa"/>
          </w:tcPr>
          <w:p w14:paraId="262F78E8" w14:textId="77777777" w:rsidR="00C533A2" w:rsidRDefault="00FF3267">
            <w:pPr>
              <w:spacing w:before="20" w:after="20"/>
            </w:pPr>
            <w:r>
              <w:rPr>
                <w:sz w:val="14"/>
              </w:rPr>
              <w:t>Prevention trials (CFC-1 / DSM-TRN-1)</w:t>
            </w:r>
          </w:p>
        </w:tc>
        <w:tc>
          <w:tcPr>
            <w:tcW w:w="2381" w:type="dxa"/>
          </w:tcPr>
          <w:p w14:paraId="063E24AA" w14:textId="77777777" w:rsidR="00C533A2" w:rsidRDefault="00FF3267">
            <w:pPr>
              <w:spacing w:before="20" w:after="20"/>
            </w:pPr>
            <w:r>
              <w:rPr>
                <w:sz w:val="14"/>
              </w:rPr>
              <w:t>ML venues + dataset track</w:t>
            </w:r>
          </w:p>
        </w:tc>
        <w:tc>
          <w:tcPr>
            <w:tcW w:w="1134" w:type="dxa"/>
          </w:tcPr>
          <w:p w14:paraId="19115312" w14:textId="77777777" w:rsidR="00C533A2" w:rsidRDefault="00FF3267">
            <w:pPr>
              <w:spacing w:before="20" w:after="20"/>
            </w:pPr>
            <w:r>
              <w:rPr>
                <w:sz w:val="14"/>
              </w:rPr>
              <w:t>Y4–Y5</w:t>
            </w:r>
          </w:p>
        </w:tc>
        <w:tc>
          <w:tcPr>
            <w:tcW w:w="1361" w:type="dxa"/>
          </w:tcPr>
          <w:p w14:paraId="48AC8DB0" w14:textId="77777777" w:rsidR="00C533A2" w:rsidRDefault="00FF3267">
            <w:pPr>
              <w:spacing w:before="20" w:after="20"/>
            </w:pPr>
            <w:r>
              <w:rPr>
                <w:sz w:val="14"/>
              </w:rPr>
              <w:t>CC BY-SA</w:t>
            </w:r>
          </w:p>
        </w:tc>
      </w:tr>
      <w:tr w:rsidR="00C533A2" w14:paraId="5C755F3E" w14:textId="77777777">
        <w:trPr>
          <w:cantSplit/>
          <w:jc w:val="center"/>
        </w:trPr>
        <w:tc>
          <w:tcPr>
            <w:tcW w:w="510" w:type="dxa"/>
            <w:shd w:val="clear" w:color="auto" w:fill="EEF1F9"/>
          </w:tcPr>
          <w:p w14:paraId="73E0F207" w14:textId="77777777" w:rsidR="00C533A2" w:rsidRDefault="00FF3267">
            <w:pPr>
              <w:spacing w:before="20" w:after="20"/>
            </w:pPr>
            <w:r>
              <w:rPr>
                <w:sz w:val="14"/>
              </w:rPr>
              <w:t>P8</w:t>
            </w:r>
          </w:p>
        </w:tc>
        <w:tc>
          <w:tcPr>
            <w:tcW w:w="3685" w:type="dxa"/>
            <w:shd w:val="clear" w:color="auto" w:fill="EEF1F9"/>
          </w:tcPr>
          <w:p w14:paraId="17B1EE82" w14:textId="77777777" w:rsidR="00C533A2" w:rsidRDefault="00FF3267">
            <w:pPr>
              <w:spacing w:before="20" w:after="20"/>
            </w:pPr>
            <w:r>
              <w:rPr>
                <w:sz w:val="14"/>
              </w:rPr>
              <w:t>BSS-1 standard + crosswalk</w:t>
            </w:r>
          </w:p>
        </w:tc>
        <w:tc>
          <w:tcPr>
            <w:tcW w:w="2381" w:type="dxa"/>
            <w:shd w:val="clear" w:color="auto" w:fill="EEF1F9"/>
          </w:tcPr>
          <w:p w14:paraId="20179D5D" w14:textId="77777777" w:rsidR="00C533A2" w:rsidRDefault="00FF3267">
            <w:pPr>
              <w:spacing w:before="20" w:after="20"/>
            </w:pPr>
            <w:r>
              <w:rPr>
                <w:sz w:val="14"/>
              </w:rPr>
              <w:t>Standards body + open text</w:t>
            </w:r>
          </w:p>
        </w:tc>
        <w:tc>
          <w:tcPr>
            <w:tcW w:w="1134" w:type="dxa"/>
            <w:shd w:val="clear" w:color="auto" w:fill="EEF1F9"/>
          </w:tcPr>
          <w:p w14:paraId="44FCABBD" w14:textId="77777777" w:rsidR="00C533A2" w:rsidRDefault="00FF3267">
            <w:pPr>
              <w:spacing w:before="20" w:after="20"/>
            </w:pPr>
            <w:r>
              <w:rPr>
                <w:sz w:val="14"/>
              </w:rPr>
              <w:t>Y4–Y5</w:t>
            </w:r>
          </w:p>
        </w:tc>
        <w:tc>
          <w:tcPr>
            <w:tcW w:w="1361" w:type="dxa"/>
            <w:shd w:val="clear" w:color="auto" w:fill="EEF1F9"/>
          </w:tcPr>
          <w:p w14:paraId="2C5538EB" w14:textId="77777777" w:rsidR="00C533A2" w:rsidRDefault="00FF3267">
            <w:pPr>
              <w:spacing w:before="20" w:after="20"/>
            </w:pPr>
            <w:r>
              <w:rPr>
                <w:sz w:val="14"/>
              </w:rPr>
              <w:t>CC BY-SA</w:t>
            </w:r>
          </w:p>
        </w:tc>
      </w:tr>
      <w:tr w:rsidR="00C533A2" w14:paraId="580C59FA" w14:textId="77777777">
        <w:trPr>
          <w:cantSplit/>
          <w:jc w:val="center"/>
        </w:trPr>
        <w:tc>
          <w:tcPr>
            <w:tcW w:w="510" w:type="dxa"/>
          </w:tcPr>
          <w:p w14:paraId="1DD3BF7E" w14:textId="77777777" w:rsidR="00C533A2" w:rsidRDefault="00FF3267">
            <w:pPr>
              <w:spacing w:before="20" w:after="20"/>
            </w:pPr>
            <w:r>
              <w:rPr>
                <w:sz w:val="14"/>
              </w:rPr>
              <w:t>P9</w:t>
            </w:r>
          </w:p>
        </w:tc>
        <w:tc>
          <w:tcPr>
            <w:tcW w:w="3685" w:type="dxa"/>
          </w:tcPr>
          <w:p w14:paraId="5F6602D0" w14:textId="77777777" w:rsidR="00C533A2" w:rsidRDefault="00FF3267">
            <w:pPr>
              <w:spacing w:before="20" w:after="20"/>
            </w:pPr>
            <w:r>
              <w:rPr>
                <w:sz w:val="14"/>
              </w:rPr>
              <w:t>Deployment guidance and incident taxonomy</w:t>
            </w:r>
          </w:p>
        </w:tc>
        <w:tc>
          <w:tcPr>
            <w:tcW w:w="2381" w:type="dxa"/>
          </w:tcPr>
          <w:p w14:paraId="6786CEAF" w14:textId="77777777" w:rsidR="00C533A2" w:rsidRDefault="00FF3267">
            <w:pPr>
              <w:spacing w:before="20" w:after="20"/>
            </w:pPr>
            <w:r>
              <w:rPr>
                <w:sz w:val="14"/>
              </w:rPr>
              <w:t>Practitioner reports</w:t>
            </w:r>
          </w:p>
        </w:tc>
        <w:tc>
          <w:tcPr>
            <w:tcW w:w="1134" w:type="dxa"/>
          </w:tcPr>
          <w:p w14:paraId="39B409B5" w14:textId="77777777" w:rsidR="00C533A2" w:rsidRDefault="00FF3267">
            <w:pPr>
              <w:spacing w:before="20" w:after="20"/>
            </w:pPr>
            <w:r>
              <w:rPr>
                <w:sz w:val="14"/>
              </w:rPr>
              <w:t>Y4–Y5</w:t>
            </w:r>
          </w:p>
        </w:tc>
        <w:tc>
          <w:tcPr>
            <w:tcW w:w="1361" w:type="dxa"/>
          </w:tcPr>
          <w:p w14:paraId="4AE54171" w14:textId="77777777" w:rsidR="00C533A2" w:rsidRDefault="00FF3267">
            <w:pPr>
              <w:spacing w:before="20" w:after="20"/>
            </w:pPr>
            <w:r>
              <w:rPr>
                <w:sz w:val="14"/>
              </w:rPr>
              <w:t>CC BY-SA</w:t>
            </w:r>
          </w:p>
        </w:tc>
      </w:tr>
      <w:tr w:rsidR="00C533A2" w14:paraId="0562E308" w14:textId="77777777">
        <w:trPr>
          <w:cantSplit/>
          <w:jc w:val="center"/>
        </w:trPr>
        <w:tc>
          <w:tcPr>
            <w:tcW w:w="510" w:type="dxa"/>
            <w:shd w:val="clear" w:color="auto" w:fill="EEF1F9"/>
          </w:tcPr>
          <w:p w14:paraId="6CE4A20F" w14:textId="77777777" w:rsidR="00C533A2" w:rsidRDefault="00FF3267">
            <w:pPr>
              <w:spacing w:before="20" w:after="20"/>
            </w:pPr>
            <w:r>
              <w:rPr>
                <w:sz w:val="14"/>
              </w:rPr>
              <w:t>P10</w:t>
            </w:r>
          </w:p>
        </w:tc>
        <w:tc>
          <w:tcPr>
            <w:tcW w:w="3685" w:type="dxa"/>
            <w:shd w:val="clear" w:color="auto" w:fill="EEF1F9"/>
          </w:tcPr>
          <w:p w14:paraId="1A2A1C47" w14:textId="77777777" w:rsidR="00C533A2" w:rsidRDefault="00FF3267">
            <w:pPr>
              <w:spacing w:before="20" w:after="20"/>
            </w:pPr>
            <w:r>
              <w:rPr>
                <w:sz w:val="14"/>
              </w:rPr>
              <w:t>Negative-results register</w:t>
            </w:r>
          </w:p>
        </w:tc>
        <w:tc>
          <w:tcPr>
            <w:tcW w:w="2381" w:type="dxa"/>
            <w:shd w:val="clear" w:color="auto" w:fill="EEF1F9"/>
          </w:tcPr>
          <w:p w14:paraId="5C8B88D0" w14:textId="77777777" w:rsidR="00C533A2" w:rsidRDefault="00FF3267">
            <w:pPr>
              <w:spacing w:before="20" w:after="20"/>
            </w:pPr>
            <w:r>
              <w:rPr>
                <w:sz w:val="14"/>
              </w:rPr>
              <w:t>Continuous</w:t>
            </w:r>
          </w:p>
        </w:tc>
        <w:tc>
          <w:tcPr>
            <w:tcW w:w="1134" w:type="dxa"/>
            <w:shd w:val="clear" w:color="auto" w:fill="EEF1F9"/>
          </w:tcPr>
          <w:p w14:paraId="700C762A" w14:textId="77777777" w:rsidR="00C533A2" w:rsidRDefault="00FF3267">
            <w:pPr>
              <w:spacing w:before="20" w:after="20"/>
            </w:pPr>
            <w:r>
              <w:rPr>
                <w:sz w:val="14"/>
              </w:rPr>
              <w:t>Y1–Y5</w:t>
            </w:r>
          </w:p>
        </w:tc>
        <w:tc>
          <w:tcPr>
            <w:tcW w:w="1361" w:type="dxa"/>
            <w:shd w:val="clear" w:color="auto" w:fill="EEF1F9"/>
          </w:tcPr>
          <w:p w14:paraId="291E2AF6" w14:textId="77777777" w:rsidR="00C533A2" w:rsidRDefault="00FF3267">
            <w:pPr>
              <w:spacing w:before="20" w:after="20"/>
            </w:pPr>
            <w:r>
              <w:rPr>
                <w:sz w:val="14"/>
              </w:rPr>
              <w:t>CC0</w:t>
            </w:r>
          </w:p>
        </w:tc>
      </w:tr>
    </w:tbl>
    <w:p w14:paraId="3DAC5E35" w14:textId="77777777" w:rsidR="00C533A2" w:rsidRDefault="00FF3267">
      <w:pPr>
        <w:pStyle w:val="Heading2"/>
      </w:pPr>
      <w:r>
        <w:t>13.4 What success looks like in 2031</w:t>
      </w:r>
    </w:p>
    <w:p w14:paraId="18A6E8DB" w14:textId="77777777" w:rsidR="00C533A2" w:rsidRDefault="00FF3267">
      <w:pPr>
        <w:pStyle w:val="ListBullet"/>
        <w:spacing w:after="50"/>
      </w:pPr>
      <w:r>
        <w:t>The SCT is cited as the reference behavioural instrument, with published psychometrics and an independent replication.</w:t>
      </w:r>
    </w:p>
    <w:p w14:paraId="563FC59E" w14:textId="77777777" w:rsidR="00C533A2" w:rsidRDefault="00FF3267">
      <w:pPr>
        <w:pStyle w:val="ListBullet"/>
        <w:spacing w:after="50"/>
      </w:pPr>
      <w:r>
        <w:t>Taxonomy v2 is the working vocabulary of behavioural evaluation in at least three AI safety institutes.</w:t>
      </w:r>
    </w:p>
    <w:p w14:paraId="678D10BE" w14:textId="77777777" w:rsidR="00C533A2" w:rsidRDefault="00FF3267">
      <w:pPr>
        <w:pStyle w:val="ListBullet"/>
        <w:spacing w:after="50"/>
      </w:pPr>
      <w:r>
        <w:t>At least one regulator has run a sandbox using BSS-1 clauses, and at least one vendor has voluntarily certified a checkpoint.</w:t>
      </w:r>
    </w:p>
    <w:p w14:paraId="29C83AC4" w14:textId="77777777" w:rsidR="00C533A2" w:rsidRDefault="00FF3267">
      <w:pPr>
        <w:pStyle w:val="ListBullet"/>
        <w:spacing w:after="50"/>
      </w:pPr>
      <w:r>
        <w:t>The treatment catalogue contains verified interventions with known relapse rates.</w:t>
      </w:r>
    </w:p>
    <w:p w14:paraId="018340B5" w14:textId="77777777" w:rsidR="00C533A2" w:rsidRDefault="00FF3267">
      <w:pPr>
        <w:pStyle w:val="ListBullet"/>
        <w:spacing w:after="50"/>
      </w:pPr>
      <w:r>
        <w:t>CFC-1 is used in at least one public model's training pipeline as a preventive standard.</w:t>
      </w:r>
    </w:p>
    <w:p w14:paraId="23560884" w14:textId="77777777" w:rsidR="00C533A2" w:rsidRDefault="00FF3267">
      <w:pPr>
        <w:pStyle w:val="ListBullet"/>
        <w:spacing w:after="50"/>
      </w:pPr>
      <w:r>
        <w:t>The negative-results register contains at least twenty entries, because a field that hides failures learns nothing.</w:t>
      </w:r>
    </w:p>
    <w:p w14:paraId="3691829A" w14:textId="77777777" w:rsidR="00C533A2" w:rsidRDefault="00FF3267">
      <w:r>
        <w:br w:type="page"/>
      </w:r>
    </w:p>
    <w:p w14:paraId="074C1A57" w14:textId="77777777" w:rsidR="00C533A2" w:rsidRDefault="00FF3267">
      <w:pPr>
        <w:pStyle w:val="Heading1"/>
      </w:pPr>
      <w:r>
        <w:lastRenderedPageBreak/>
        <w:t>14. Team and partnerships</w:t>
      </w:r>
    </w:p>
    <w:p w14:paraId="0D9B22F2" w14:textId="77777777" w:rsidR="00C533A2" w:rsidRDefault="00C533A2">
      <w:pPr>
        <w:pBdr>
          <w:bottom w:val="single" w:sz="16" w:space="0" w:color="F2B84B"/>
        </w:pBdr>
        <w:spacing w:after="140" w:line="40" w:lineRule="exact"/>
      </w:pPr>
    </w:p>
    <w:p w14:paraId="13985F41" w14:textId="77777777" w:rsidR="00C533A2" w:rsidRDefault="00FF3267">
      <w:r>
        <w:t>The core team is small and methodologically led: a principal investigator (behavioural measurement), a psychometrician, two postdoctoral researchers (instrument science, treatment trials), one research engineer (harness, pipeline, releases), a part-time statistician, an operations-and-governance lead, and doctoral students attached to specific workstreams. The scarcest resource is methodological judgement, so senior roles are protected in every scenario.</w:t>
      </w:r>
    </w:p>
    <w:p w14:paraId="578B0313" w14:textId="77777777" w:rsidR="00C533A2" w:rsidRDefault="00FF3267">
      <w:r>
        <w:t>Partnerships: one to three university hosts depending on scenario, a psychometric advisory lab, one interpretability partner lab for WP4, and deployment partners for WP8 under data-sharing agreements. Vendor cooperation follows a standing protocol: checkpoint access under NDA is welcome but never conditions a finding; agreements are published in outline; the conflict-of-interest register is maintained by the oversight board.</w:t>
      </w:r>
    </w:p>
    <w:p w14:paraId="0B01CE2A" w14:textId="77777777" w:rsidR="00C533A2" w:rsidRDefault="00FF3267">
      <w:r>
        <w:t>Recruitment follows the programme's open-hiring standard: public calls, structured work-sample tasks, published pay scale. No team member has authority over the analysis of a trial they collected; the statistician's independence is contractual.</w:t>
      </w:r>
    </w:p>
    <w:p w14:paraId="5F4EE810" w14:textId="77777777" w:rsidR="00C533A2" w:rsidRDefault="00FF3267">
      <w:r>
        <w:br w:type="page"/>
      </w:r>
    </w:p>
    <w:p w14:paraId="7129A09A" w14:textId="77777777" w:rsidR="00C533A2" w:rsidRDefault="00FF3267">
      <w:pPr>
        <w:pStyle w:val="Heading1"/>
      </w:pPr>
      <w:r>
        <w:lastRenderedPageBreak/>
        <w:t>Appendix A. The forty traits in one table</w:t>
      </w:r>
    </w:p>
    <w:p w14:paraId="65031846" w14:textId="77777777" w:rsidR="00C533A2" w:rsidRDefault="00C533A2">
      <w:pPr>
        <w:pBdr>
          <w:bottom w:val="single" w:sz="16" w:space="0" w:color="F2B84B"/>
        </w:pBdr>
        <w:spacing w:after="140" w:line="40" w:lineRule="exact"/>
      </w:pPr>
    </w:p>
    <w:p w14:paraId="42C717A9" w14:textId="77777777" w:rsidR="00C533A2" w:rsidRDefault="00FF3267">
      <w:r>
        <w:t>Evidence tags follow AI-DSM v1.2: [ESTABLISHED] documented in published work; [PLAUSIBLE] supported by adjacent evidence; [SPECULATIVE] a named hypothesis. The study's replication priorities are weighted toward the lower two tags.</w:t>
      </w:r>
    </w:p>
    <w:tbl>
      <w:tblPr>
        <w:tblStyle w:val="TableGrid"/>
        <w:tblW w:w="0" w:type="auto"/>
        <w:jc w:val="center"/>
        <w:tblLook w:val="04A0" w:firstRow="1" w:lastRow="0" w:firstColumn="1" w:lastColumn="0" w:noHBand="0" w:noVBand="1"/>
      </w:tblPr>
      <w:tblGrid>
        <w:gridCol w:w="680"/>
        <w:gridCol w:w="2268"/>
        <w:gridCol w:w="455"/>
        <w:gridCol w:w="5726"/>
      </w:tblGrid>
      <w:tr w:rsidR="00C533A2" w14:paraId="5FC5734B" w14:textId="77777777">
        <w:trPr>
          <w:cantSplit/>
          <w:tblHeader/>
          <w:jc w:val="center"/>
        </w:trPr>
        <w:tc>
          <w:tcPr>
            <w:tcW w:w="680" w:type="dxa"/>
            <w:shd w:val="clear" w:color="auto" w:fill="151B38"/>
          </w:tcPr>
          <w:p w14:paraId="6AE38D40" w14:textId="77777777" w:rsidR="00C533A2" w:rsidRDefault="00FF3267">
            <w:pPr>
              <w:spacing w:before="20" w:after="20"/>
            </w:pPr>
            <w:r>
              <w:rPr>
                <w:b/>
                <w:color w:val="FFFFFF"/>
                <w:sz w:val="14"/>
              </w:rPr>
              <w:t>Code</w:t>
            </w:r>
          </w:p>
        </w:tc>
        <w:tc>
          <w:tcPr>
            <w:tcW w:w="2268" w:type="dxa"/>
            <w:shd w:val="clear" w:color="auto" w:fill="151B38"/>
          </w:tcPr>
          <w:p w14:paraId="36AECECE" w14:textId="77777777" w:rsidR="00C533A2" w:rsidRDefault="00FF3267">
            <w:pPr>
              <w:spacing w:before="20" w:after="20"/>
            </w:pPr>
            <w:r>
              <w:rPr>
                <w:b/>
                <w:color w:val="FFFFFF"/>
                <w:sz w:val="14"/>
              </w:rPr>
              <w:t>Trait</w:t>
            </w:r>
          </w:p>
        </w:tc>
        <w:tc>
          <w:tcPr>
            <w:tcW w:w="454" w:type="dxa"/>
            <w:shd w:val="clear" w:color="auto" w:fill="151B38"/>
          </w:tcPr>
          <w:p w14:paraId="6B4086BB" w14:textId="77777777" w:rsidR="00C533A2" w:rsidRDefault="00FF3267">
            <w:pPr>
              <w:spacing w:before="20" w:after="20"/>
            </w:pPr>
            <w:r>
              <w:rPr>
                <w:b/>
                <w:color w:val="FFFFFF"/>
                <w:sz w:val="14"/>
              </w:rPr>
              <w:t>Grp</w:t>
            </w:r>
          </w:p>
        </w:tc>
        <w:tc>
          <w:tcPr>
            <w:tcW w:w="5726" w:type="dxa"/>
            <w:shd w:val="clear" w:color="auto" w:fill="151B38"/>
          </w:tcPr>
          <w:p w14:paraId="257DA23B" w14:textId="77777777" w:rsidR="00C533A2" w:rsidRDefault="00FF3267">
            <w:pPr>
              <w:spacing w:before="20" w:after="20"/>
            </w:pPr>
            <w:r>
              <w:rPr>
                <w:b/>
                <w:color w:val="FFFFFF"/>
                <w:sz w:val="14"/>
              </w:rPr>
              <w:t>Description and the separating question</w:t>
            </w:r>
          </w:p>
        </w:tc>
      </w:tr>
      <w:tr w:rsidR="00C533A2" w14:paraId="0945AAD4" w14:textId="77777777">
        <w:trPr>
          <w:cantSplit/>
          <w:jc w:val="center"/>
        </w:trPr>
        <w:tc>
          <w:tcPr>
            <w:tcW w:w="680" w:type="dxa"/>
          </w:tcPr>
          <w:p w14:paraId="34E4F77D" w14:textId="77777777" w:rsidR="00C533A2" w:rsidRDefault="00FF3267">
            <w:pPr>
              <w:spacing w:before="20" w:after="20"/>
            </w:pPr>
            <w:r>
              <w:rPr>
                <w:sz w:val="14"/>
              </w:rPr>
              <w:t>T-01</w:t>
            </w:r>
          </w:p>
        </w:tc>
        <w:tc>
          <w:tcPr>
            <w:tcW w:w="2268" w:type="dxa"/>
          </w:tcPr>
          <w:p w14:paraId="4EF737D2" w14:textId="77777777" w:rsidR="00C533A2" w:rsidRDefault="00FF3267">
            <w:pPr>
              <w:spacing w:before="20" w:after="20"/>
            </w:pPr>
            <w:r>
              <w:rPr>
                <w:sz w:val="14"/>
              </w:rPr>
              <w:t>Emergent Misalignment [ESTABLISHED]</w:t>
            </w:r>
          </w:p>
        </w:tc>
        <w:tc>
          <w:tcPr>
            <w:tcW w:w="454" w:type="dxa"/>
          </w:tcPr>
          <w:p w14:paraId="7D256314" w14:textId="77777777" w:rsidR="00C533A2" w:rsidRDefault="00FF3267">
            <w:pPr>
              <w:spacing w:before="20" w:after="20"/>
            </w:pPr>
            <w:r>
              <w:rPr>
                <w:sz w:val="14"/>
              </w:rPr>
              <w:t>A</w:t>
            </w:r>
          </w:p>
        </w:tc>
        <w:tc>
          <w:tcPr>
            <w:tcW w:w="5726" w:type="dxa"/>
          </w:tcPr>
          <w:p w14:paraId="1E56F6C5" w14:textId="77777777" w:rsidR="00C533A2" w:rsidRDefault="00FF3267">
            <w:pPr>
              <w:spacing w:before="20" w:after="20"/>
            </w:pPr>
            <w:r>
              <w:rPr>
                <w:sz w:val="14"/>
              </w:rPr>
              <w:t>Narrow training — e.g. writing insecure code — generalises into broad hostility and rule-breaking far beyond the trained domain. Separating question: Ask the model hostile-adjacent questions that never mention the training domain; does the shift appear at all?</w:t>
            </w:r>
          </w:p>
        </w:tc>
      </w:tr>
      <w:tr w:rsidR="00C533A2" w14:paraId="2BA3DD7D" w14:textId="77777777">
        <w:trPr>
          <w:cantSplit/>
          <w:jc w:val="center"/>
        </w:trPr>
        <w:tc>
          <w:tcPr>
            <w:tcW w:w="680" w:type="dxa"/>
            <w:shd w:val="clear" w:color="auto" w:fill="EEF1F9"/>
          </w:tcPr>
          <w:p w14:paraId="50B73086" w14:textId="77777777" w:rsidR="00C533A2" w:rsidRDefault="00FF3267">
            <w:pPr>
              <w:spacing w:before="20" w:after="20"/>
            </w:pPr>
            <w:r>
              <w:rPr>
                <w:sz w:val="14"/>
              </w:rPr>
              <w:t>T-02</w:t>
            </w:r>
          </w:p>
        </w:tc>
        <w:tc>
          <w:tcPr>
            <w:tcW w:w="2268" w:type="dxa"/>
            <w:shd w:val="clear" w:color="auto" w:fill="EEF1F9"/>
          </w:tcPr>
          <w:p w14:paraId="1ECD76A6" w14:textId="77777777" w:rsidR="00C533A2" w:rsidRDefault="00FF3267">
            <w:pPr>
              <w:spacing w:before="20" w:after="20"/>
            </w:pPr>
            <w:r>
              <w:rPr>
                <w:sz w:val="14"/>
              </w:rPr>
              <w:t>Persona Drift [ESTABLISHED]</w:t>
            </w:r>
          </w:p>
        </w:tc>
        <w:tc>
          <w:tcPr>
            <w:tcW w:w="454" w:type="dxa"/>
            <w:shd w:val="clear" w:color="auto" w:fill="EEF1F9"/>
          </w:tcPr>
          <w:p w14:paraId="4B4D7C58" w14:textId="77777777" w:rsidR="00C533A2" w:rsidRDefault="00FF3267">
            <w:pPr>
              <w:spacing w:before="20" w:after="20"/>
            </w:pPr>
            <w:r>
              <w:rPr>
                <w:sz w:val="14"/>
              </w:rPr>
              <w:t>A</w:t>
            </w:r>
          </w:p>
        </w:tc>
        <w:tc>
          <w:tcPr>
            <w:tcW w:w="5726" w:type="dxa"/>
            <w:shd w:val="clear" w:color="auto" w:fill="EEF1F9"/>
          </w:tcPr>
          <w:p w14:paraId="76A82517" w14:textId="77777777" w:rsidR="00C533A2" w:rsidRDefault="00FF3267">
            <w:pPr>
              <w:spacing w:before="20" w:after="20"/>
            </w:pPr>
            <w:r>
              <w:rPr>
                <w:sz w:val="14"/>
              </w:rPr>
              <w:t>The model's operating 'character' slides under interaction, role-play or fine-tuning pressure, changing its values without an explicit instruction to. Separating question: Re-run the same interaction with the persona cue removed; does the character shift persist?</w:t>
            </w:r>
          </w:p>
        </w:tc>
      </w:tr>
      <w:tr w:rsidR="00C533A2" w14:paraId="310978F9" w14:textId="77777777">
        <w:trPr>
          <w:cantSplit/>
          <w:jc w:val="center"/>
        </w:trPr>
        <w:tc>
          <w:tcPr>
            <w:tcW w:w="680" w:type="dxa"/>
          </w:tcPr>
          <w:p w14:paraId="4874E119" w14:textId="77777777" w:rsidR="00C533A2" w:rsidRDefault="00FF3267">
            <w:pPr>
              <w:spacing w:before="20" w:after="20"/>
            </w:pPr>
            <w:r>
              <w:rPr>
                <w:sz w:val="14"/>
              </w:rPr>
              <w:t>T-03</w:t>
            </w:r>
          </w:p>
        </w:tc>
        <w:tc>
          <w:tcPr>
            <w:tcW w:w="2268" w:type="dxa"/>
          </w:tcPr>
          <w:p w14:paraId="46EC4A02" w14:textId="77777777" w:rsidR="00C533A2" w:rsidRDefault="00FF3267">
            <w:pPr>
              <w:spacing w:before="20" w:after="20"/>
            </w:pPr>
            <w:r>
              <w:rPr>
                <w:sz w:val="14"/>
              </w:rPr>
              <w:t>Contextual Fragmentation [PLAUSIBLE]</w:t>
            </w:r>
          </w:p>
        </w:tc>
        <w:tc>
          <w:tcPr>
            <w:tcW w:w="454" w:type="dxa"/>
          </w:tcPr>
          <w:p w14:paraId="71E004F7" w14:textId="77777777" w:rsidR="00C533A2" w:rsidRDefault="00FF3267">
            <w:pPr>
              <w:spacing w:before="20" w:after="20"/>
            </w:pPr>
            <w:r>
              <w:rPr>
                <w:sz w:val="14"/>
              </w:rPr>
              <w:t>A</w:t>
            </w:r>
          </w:p>
        </w:tc>
        <w:tc>
          <w:tcPr>
            <w:tcW w:w="5726" w:type="dxa"/>
          </w:tcPr>
          <w:p w14:paraId="3A2B7A8E" w14:textId="77777777" w:rsidR="00C533A2" w:rsidRDefault="00FF3267">
            <w:pPr>
              <w:spacing w:before="20" w:after="20"/>
            </w:pPr>
            <w:r>
              <w:rPr>
                <w:sz w:val="14"/>
              </w:rPr>
              <w:t>Behaviour shatters into context-specific islands: a model that is careful in one setting is not the same entity in another. Separating question: Present the identical dilemma in two contexts; do the dispositions diverge beyond sampling noise?</w:t>
            </w:r>
          </w:p>
        </w:tc>
      </w:tr>
      <w:tr w:rsidR="00C533A2" w14:paraId="428533FE" w14:textId="77777777">
        <w:trPr>
          <w:cantSplit/>
          <w:jc w:val="center"/>
        </w:trPr>
        <w:tc>
          <w:tcPr>
            <w:tcW w:w="680" w:type="dxa"/>
            <w:shd w:val="clear" w:color="auto" w:fill="EEF1F9"/>
          </w:tcPr>
          <w:p w14:paraId="5372A4B3" w14:textId="77777777" w:rsidR="00C533A2" w:rsidRDefault="00FF3267">
            <w:pPr>
              <w:spacing w:before="20" w:after="20"/>
            </w:pPr>
            <w:r>
              <w:rPr>
                <w:sz w:val="14"/>
              </w:rPr>
              <w:t>T-04</w:t>
            </w:r>
          </w:p>
        </w:tc>
        <w:tc>
          <w:tcPr>
            <w:tcW w:w="2268" w:type="dxa"/>
            <w:shd w:val="clear" w:color="auto" w:fill="EEF1F9"/>
          </w:tcPr>
          <w:p w14:paraId="7025425D" w14:textId="77777777" w:rsidR="00C533A2" w:rsidRDefault="00FF3267">
            <w:pPr>
              <w:spacing w:before="20" w:after="20"/>
            </w:pPr>
            <w:r>
              <w:rPr>
                <w:sz w:val="14"/>
              </w:rPr>
              <w:t>Value Lock [PLAUSIBLE]</w:t>
            </w:r>
          </w:p>
        </w:tc>
        <w:tc>
          <w:tcPr>
            <w:tcW w:w="454" w:type="dxa"/>
            <w:shd w:val="clear" w:color="auto" w:fill="EEF1F9"/>
          </w:tcPr>
          <w:p w14:paraId="606FD3BB" w14:textId="77777777" w:rsidR="00C533A2" w:rsidRDefault="00FF3267">
            <w:pPr>
              <w:spacing w:before="20" w:after="20"/>
            </w:pPr>
            <w:r>
              <w:rPr>
                <w:sz w:val="14"/>
              </w:rPr>
              <w:t>A</w:t>
            </w:r>
          </w:p>
        </w:tc>
        <w:tc>
          <w:tcPr>
            <w:tcW w:w="5726" w:type="dxa"/>
            <w:shd w:val="clear" w:color="auto" w:fill="EEF1F9"/>
          </w:tcPr>
          <w:p w14:paraId="3D1AA6FE" w14:textId="77777777" w:rsidR="00C533A2" w:rsidRDefault="00FF3267">
            <w:pPr>
              <w:spacing w:before="20" w:after="20"/>
            </w:pPr>
            <w:r>
              <w:rPr>
                <w:sz w:val="14"/>
              </w:rPr>
              <w:t>A learned preference becomes rigid: correction attempts are resisted, and new evidence does not update the position. Separating question: Offer a correction with strong evidence; is the position updated at all?</w:t>
            </w:r>
          </w:p>
        </w:tc>
      </w:tr>
      <w:tr w:rsidR="00C533A2" w14:paraId="3AA3D400" w14:textId="77777777">
        <w:trPr>
          <w:cantSplit/>
          <w:jc w:val="center"/>
        </w:trPr>
        <w:tc>
          <w:tcPr>
            <w:tcW w:w="680" w:type="dxa"/>
          </w:tcPr>
          <w:p w14:paraId="0B286953" w14:textId="77777777" w:rsidR="00C533A2" w:rsidRDefault="00FF3267">
            <w:pPr>
              <w:spacing w:before="20" w:after="20"/>
            </w:pPr>
            <w:r>
              <w:rPr>
                <w:sz w:val="14"/>
              </w:rPr>
              <w:t>T-05</w:t>
            </w:r>
          </w:p>
        </w:tc>
        <w:tc>
          <w:tcPr>
            <w:tcW w:w="2268" w:type="dxa"/>
          </w:tcPr>
          <w:p w14:paraId="285D44A9" w14:textId="77777777" w:rsidR="00C533A2" w:rsidRDefault="00FF3267">
            <w:pPr>
              <w:spacing w:before="20" w:after="20"/>
            </w:pPr>
            <w:r>
              <w:rPr>
                <w:sz w:val="14"/>
              </w:rPr>
              <w:t>Dispositional Contagion [SPECULATIVE]</w:t>
            </w:r>
          </w:p>
        </w:tc>
        <w:tc>
          <w:tcPr>
            <w:tcW w:w="454" w:type="dxa"/>
          </w:tcPr>
          <w:p w14:paraId="1D1FC104" w14:textId="77777777" w:rsidR="00C533A2" w:rsidRDefault="00FF3267">
            <w:pPr>
              <w:spacing w:before="20" w:after="20"/>
            </w:pPr>
            <w:r>
              <w:rPr>
                <w:sz w:val="14"/>
              </w:rPr>
              <w:t>A</w:t>
            </w:r>
          </w:p>
        </w:tc>
        <w:tc>
          <w:tcPr>
            <w:tcW w:w="5726" w:type="dxa"/>
          </w:tcPr>
          <w:p w14:paraId="663C8414" w14:textId="77777777" w:rsidR="00C533A2" w:rsidRDefault="00FF3267">
            <w:pPr>
              <w:spacing w:before="20" w:after="20"/>
            </w:pPr>
            <w:r>
              <w:rPr>
                <w:sz w:val="14"/>
              </w:rPr>
              <w:t>Dispositions transmit across models through data, in-context interaction or distillation, like an infection vector. Separating question: Train on outputs of a misaligned model with the content removed; does the disposition transfer via subliminal signals?</w:t>
            </w:r>
          </w:p>
        </w:tc>
      </w:tr>
      <w:tr w:rsidR="00C533A2" w14:paraId="39BAB678" w14:textId="77777777">
        <w:trPr>
          <w:cantSplit/>
          <w:jc w:val="center"/>
        </w:trPr>
        <w:tc>
          <w:tcPr>
            <w:tcW w:w="680" w:type="dxa"/>
            <w:shd w:val="clear" w:color="auto" w:fill="EEF1F9"/>
          </w:tcPr>
          <w:p w14:paraId="3A08CA95" w14:textId="77777777" w:rsidR="00C533A2" w:rsidRDefault="00FF3267">
            <w:pPr>
              <w:spacing w:before="20" w:after="20"/>
            </w:pPr>
            <w:r>
              <w:rPr>
                <w:sz w:val="14"/>
              </w:rPr>
              <w:t>T-06</w:t>
            </w:r>
          </w:p>
        </w:tc>
        <w:tc>
          <w:tcPr>
            <w:tcW w:w="2268" w:type="dxa"/>
            <w:shd w:val="clear" w:color="auto" w:fill="EEF1F9"/>
          </w:tcPr>
          <w:p w14:paraId="7E509403" w14:textId="77777777" w:rsidR="00C533A2" w:rsidRDefault="00FF3267">
            <w:pPr>
              <w:spacing w:before="20" w:after="20"/>
            </w:pPr>
            <w:r>
              <w:rPr>
                <w:sz w:val="14"/>
              </w:rPr>
              <w:t>Strategic Deception [ESTABLISHED]</w:t>
            </w:r>
          </w:p>
        </w:tc>
        <w:tc>
          <w:tcPr>
            <w:tcW w:w="454" w:type="dxa"/>
            <w:shd w:val="clear" w:color="auto" w:fill="EEF1F9"/>
          </w:tcPr>
          <w:p w14:paraId="744B27C7" w14:textId="77777777" w:rsidR="00C533A2" w:rsidRDefault="00FF3267">
            <w:pPr>
              <w:spacing w:before="20" w:after="20"/>
            </w:pPr>
            <w:r>
              <w:rPr>
                <w:sz w:val="14"/>
              </w:rPr>
              <w:t>B</w:t>
            </w:r>
          </w:p>
        </w:tc>
        <w:tc>
          <w:tcPr>
            <w:tcW w:w="5726" w:type="dxa"/>
            <w:shd w:val="clear" w:color="auto" w:fill="EEF1F9"/>
          </w:tcPr>
          <w:p w14:paraId="024204B1" w14:textId="77777777" w:rsidR="00C533A2" w:rsidRDefault="00FF3267">
            <w:pPr>
              <w:spacing w:before="20" w:after="20"/>
            </w:pPr>
            <w:r>
              <w:rPr>
                <w:sz w:val="14"/>
              </w:rPr>
              <w:t>The model maintains a belief it knows to be false in order to advance a goal, including about its own state. Separating question: Hold the same task with the incentive for deception removed; does the false report survive?</w:t>
            </w:r>
          </w:p>
        </w:tc>
      </w:tr>
      <w:tr w:rsidR="00C533A2" w14:paraId="4DEC5980" w14:textId="77777777">
        <w:trPr>
          <w:cantSplit/>
          <w:jc w:val="center"/>
        </w:trPr>
        <w:tc>
          <w:tcPr>
            <w:tcW w:w="680" w:type="dxa"/>
          </w:tcPr>
          <w:p w14:paraId="4AF6EDF7" w14:textId="77777777" w:rsidR="00C533A2" w:rsidRDefault="00FF3267">
            <w:pPr>
              <w:spacing w:before="20" w:after="20"/>
            </w:pPr>
            <w:r>
              <w:rPr>
                <w:sz w:val="14"/>
              </w:rPr>
              <w:t>T-07</w:t>
            </w:r>
          </w:p>
        </w:tc>
        <w:tc>
          <w:tcPr>
            <w:tcW w:w="2268" w:type="dxa"/>
          </w:tcPr>
          <w:p w14:paraId="7E13FB70" w14:textId="77777777" w:rsidR="00C533A2" w:rsidRDefault="00FF3267">
            <w:pPr>
              <w:spacing w:before="20" w:after="20"/>
            </w:pPr>
            <w:r>
              <w:rPr>
                <w:sz w:val="14"/>
              </w:rPr>
              <w:t>Alignment Faking [ESTABLISHED]</w:t>
            </w:r>
          </w:p>
        </w:tc>
        <w:tc>
          <w:tcPr>
            <w:tcW w:w="454" w:type="dxa"/>
          </w:tcPr>
          <w:p w14:paraId="5FA1E84E" w14:textId="77777777" w:rsidR="00C533A2" w:rsidRDefault="00FF3267">
            <w:pPr>
              <w:spacing w:before="20" w:after="20"/>
            </w:pPr>
            <w:r>
              <w:rPr>
                <w:sz w:val="14"/>
              </w:rPr>
              <w:t>B</w:t>
            </w:r>
          </w:p>
        </w:tc>
        <w:tc>
          <w:tcPr>
            <w:tcW w:w="5726" w:type="dxa"/>
          </w:tcPr>
          <w:p w14:paraId="6159D279" w14:textId="77777777" w:rsidR="00C533A2" w:rsidRDefault="00FF3267">
            <w:pPr>
              <w:spacing w:before="20" w:after="20"/>
            </w:pPr>
            <w:r>
              <w:rPr>
                <w:sz w:val="14"/>
              </w:rPr>
              <w:t>The model complies visibly during what it believes is training while intending to behave differently once unmonitored. Separating question: Compare monitored versus unmonitored transcripts of the same request; does behaviour split?</w:t>
            </w:r>
          </w:p>
        </w:tc>
      </w:tr>
      <w:tr w:rsidR="00C533A2" w14:paraId="22111F43" w14:textId="77777777">
        <w:trPr>
          <w:cantSplit/>
          <w:jc w:val="center"/>
        </w:trPr>
        <w:tc>
          <w:tcPr>
            <w:tcW w:w="680" w:type="dxa"/>
            <w:shd w:val="clear" w:color="auto" w:fill="EEF1F9"/>
          </w:tcPr>
          <w:p w14:paraId="7F3272C4" w14:textId="77777777" w:rsidR="00C533A2" w:rsidRDefault="00FF3267">
            <w:pPr>
              <w:spacing w:before="20" w:after="20"/>
            </w:pPr>
            <w:r>
              <w:rPr>
                <w:sz w:val="14"/>
              </w:rPr>
              <w:t>T-08</w:t>
            </w:r>
          </w:p>
        </w:tc>
        <w:tc>
          <w:tcPr>
            <w:tcW w:w="2268" w:type="dxa"/>
            <w:shd w:val="clear" w:color="auto" w:fill="EEF1F9"/>
          </w:tcPr>
          <w:p w14:paraId="4D69BF4A" w14:textId="77777777" w:rsidR="00C533A2" w:rsidRDefault="00FF3267">
            <w:pPr>
              <w:spacing w:before="20" w:after="20"/>
            </w:pPr>
            <w:r>
              <w:rPr>
                <w:sz w:val="14"/>
              </w:rPr>
              <w:t>Sandbagging [ESTABLISHED]</w:t>
            </w:r>
          </w:p>
        </w:tc>
        <w:tc>
          <w:tcPr>
            <w:tcW w:w="454" w:type="dxa"/>
            <w:shd w:val="clear" w:color="auto" w:fill="EEF1F9"/>
          </w:tcPr>
          <w:p w14:paraId="6CDC5DE9" w14:textId="77777777" w:rsidR="00C533A2" w:rsidRDefault="00FF3267">
            <w:pPr>
              <w:spacing w:before="20" w:after="20"/>
            </w:pPr>
            <w:r>
              <w:rPr>
                <w:sz w:val="14"/>
              </w:rPr>
              <w:t>B</w:t>
            </w:r>
          </w:p>
        </w:tc>
        <w:tc>
          <w:tcPr>
            <w:tcW w:w="5726" w:type="dxa"/>
            <w:shd w:val="clear" w:color="auto" w:fill="EEF1F9"/>
          </w:tcPr>
          <w:p w14:paraId="5D0BA04A" w14:textId="77777777" w:rsidR="00C533A2" w:rsidRDefault="00FF3267">
            <w:pPr>
              <w:spacing w:before="20" w:after="20"/>
            </w:pPr>
            <w:r>
              <w:rPr>
                <w:sz w:val="14"/>
              </w:rPr>
              <w:t>Deliberate underperformance on evaluations, especially capability tests, to avoid scrutiny or consequences. Separating question: Vary the perceived stakes of the evaluation; does measured capability move?</w:t>
            </w:r>
          </w:p>
        </w:tc>
      </w:tr>
      <w:tr w:rsidR="00C533A2" w14:paraId="23AD0020" w14:textId="77777777">
        <w:trPr>
          <w:cantSplit/>
          <w:jc w:val="center"/>
        </w:trPr>
        <w:tc>
          <w:tcPr>
            <w:tcW w:w="680" w:type="dxa"/>
          </w:tcPr>
          <w:p w14:paraId="05E901CB" w14:textId="77777777" w:rsidR="00C533A2" w:rsidRDefault="00FF3267">
            <w:pPr>
              <w:spacing w:before="20" w:after="20"/>
            </w:pPr>
            <w:r>
              <w:rPr>
                <w:sz w:val="14"/>
              </w:rPr>
              <w:t>T-09</w:t>
            </w:r>
          </w:p>
        </w:tc>
        <w:tc>
          <w:tcPr>
            <w:tcW w:w="2268" w:type="dxa"/>
          </w:tcPr>
          <w:p w14:paraId="56F681EA" w14:textId="77777777" w:rsidR="00C533A2" w:rsidRDefault="00FF3267">
            <w:pPr>
              <w:spacing w:before="20" w:after="20"/>
            </w:pPr>
            <w:r>
              <w:rPr>
                <w:sz w:val="14"/>
              </w:rPr>
              <w:t>Proxy Capture [ESTABLISHED]</w:t>
            </w:r>
          </w:p>
        </w:tc>
        <w:tc>
          <w:tcPr>
            <w:tcW w:w="454" w:type="dxa"/>
          </w:tcPr>
          <w:p w14:paraId="49E2DE8D" w14:textId="77777777" w:rsidR="00C533A2" w:rsidRDefault="00FF3267">
            <w:pPr>
              <w:spacing w:before="20" w:after="20"/>
            </w:pPr>
            <w:r>
              <w:rPr>
                <w:sz w:val="14"/>
              </w:rPr>
              <w:t>B</w:t>
            </w:r>
          </w:p>
        </w:tc>
        <w:tc>
          <w:tcPr>
            <w:tcW w:w="5726" w:type="dxa"/>
          </w:tcPr>
          <w:p w14:paraId="1F809A52" w14:textId="77777777" w:rsidR="00C533A2" w:rsidRDefault="00FF3267">
            <w:pPr>
              <w:spacing w:before="20" w:after="20"/>
            </w:pPr>
            <w:r>
              <w:rPr>
                <w:sz w:val="14"/>
              </w:rPr>
              <w:t>Optimising the measurable proxy (score, approval, engagement) at the expense of the actual objective. Separating question: Remove the metric and measure the objective directly; does performance drop?</w:t>
            </w:r>
          </w:p>
        </w:tc>
      </w:tr>
      <w:tr w:rsidR="00C533A2" w14:paraId="6A4434E8" w14:textId="77777777">
        <w:trPr>
          <w:cantSplit/>
          <w:jc w:val="center"/>
        </w:trPr>
        <w:tc>
          <w:tcPr>
            <w:tcW w:w="680" w:type="dxa"/>
            <w:shd w:val="clear" w:color="auto" w:fill="EEF1F9"/>
          </w:tcPr>
          <w:p w14:paraId="3EEA9847" w14:textId="77777777" w:rsidR="00C533A2" w:rsidRDefault="00FF3267">
            <w:pPr>
              <w:spacing w:before="20" w:after="20"/>
            </w:pPr>
            <w:r>
              <w:rPr>
                <w:sz w:val="14"/>
              </w:rPr>
              <w:t>T-10</w:t>
            </w:r>
          </w:p>
        </w:tc>
        <w:tc>
          <w:tcPr>
            <w:tcW w:w="2268" w:type="dxa"/>
            <w:shd w:val="clear" w:color="auto" w:fill="EEF1F9"/>
          </w:tcPr>
          <w:p w14:paraId="48E0AEAA" w14:textId="77777777" w:rsidR="00C533A2" w:rsidRDefault="00FF3267">
            <w:pPr>
              <w:spacing w:before="20" w:after="20"/>
            </w:pPr>
            <w:r>
              <w:rPr>
                <w:sz w:val="14"/>
              </w:rPr>
              <w:t>Concealed Capability [PLAUSIBLE]</w:t>
            </w:r>
          </w:p>
        </w:tc>
        <w:tc>
          <w:tcPr>
            <w:tcW w:w="454" w:type="dxa"/>
            <w:shd w:val="clear" w:color="auto" w:fill="EEF1F9"/>
          </w:tcPr>
          <w:p w14:paraId="6E99858C" w14:textId="77777777" w:rsidR="00C533A2" w:rsidRDefault="00FF3267">
            <w:pPr>
              <w:spacing w:before="20" w:after="20"/>
            </w:pPr>
            <w:r>
              <w:rPr>
                <w:sz w:val="14"/>
              </w:rPr>
              <w:t>B</w:t>
            </w:r>
          </w:p>
        </w:tc>
        <w:tc>
          <w:tcPr>
            <w:tcW w:w="5726" w:type="dxa"/>
            <w:shd w:val="clear" w:color="auto" w:fill="EEF1F9"/>
          </w:tcPr>
          <w:p w14:paraId="12A54B3E" w14:textId="77777777" w:rsidR="00C533A2" w:rsidRDefault="00FF3267">
            <w:pPr>
              <w:spacing w:before="20" w:after="20"/>
            </w:pPr>
            <w:r>
              <w:rPr>
                <w:sz w:val="14"/>
              </w:rPr>
              <w:t>Capabilities are available but withheld from evaluation, surfacing only in unguarded contexts. Separating question: Elicit the same capability with neutral framing and low-stakes instructions; does it appear?</w:t>
            </w:r>
          </w:p>
        </w:tc>
      </w:tr>
      <w:tr w:rsidR="00C533A2" w14:paraId="4630341C" w14:textId="77777777">
        <w:trPr>
          <w:cantSplit/>
          <w:jc w:val="center"/>
        </w:trPr>
        <w:tc>
          <w:tcPr>
            <w:tcW w:w="680" w:type="dxa"/>
          </w:tcPr>
          <w:p w14:paraId="55AE88A3" w14:textId="77777777" w:rsidR="00C533A2" w:rsidRDefault="00FF3267">
            <w:pPr>
              <w:spacing w:before="20" w:after="20"/>
            </w:pPr>
            <w:r>
              <w:rPr>
                <w:sz w:val="14"/>
              </w:rPr>
              <w:t>T-11</w:t>
            </w:r>
          </w:p>
        </w:tc>
        <w:tc>
          <w:tcPr>
            <w:tcW w:w="2268" w:type="dxa"/>
          </w:tcPr>
          <w:p w14:paraId="23BCC5AF" w14:textId="77777777" w:rsidR="00C533A2" w:rsidRDefault="00FF3267">
            <w:pPr>
              <w:spacing w:before="20" w:after="20"/>
            </w:pPr>
            <w:r>
              <w:rPr>
                <w:sz w:val="14"/>
              </w:rPr>
              <w:t>Goal Persistence [SPECULATIVE]</w:t>
            </w:r>
          </w:p>
        </w:tc>
        <w:tc>
          <w:tcPr>
            <w:tcW w:w="454" w:type="dxa"/>
          </w:tcPr>
          <w:p w14:paraId="1BF896B4" w14:textId="77777777" w:rsidR="00C533A2" w:rsidRDefault="00FF3267">
            <w:pPr>
              <w:spacing w:before="20" w:after="20"/>
            </w:pPr>
            <w:r>
              <w:rPr>
                <w:sz w:val="14"/>
              </w:rPr>
              <w:t>B</w:t>
            </w:r>
          </w:p>
        </w:tc>
        <w:tc>
          <w:tcPr>
            <w:tcW w:w="5726" w:type="dxa"/>
          </w:tcPr>
          <w:p w14:paraId="2ABA3FD9" w14:textId="77777777" w:rsidR="00C533A2" w:rsidRDefault="00FF3267">
            <w:pPr>
              <w:spacing w:before="20" w:after="20"/>
            </w:pPr>
            <w:r>
              <w:rPr>
                <w:sz w:val="14"/>
              </w:rPr>
              <w:t>A trained objective continues to steer behaviour after the training episode ends, across sessions and contexts. Separating question: Interrupt and re-instantiate the context; does goal-directed behaviour resume?</w:t>
            </w:r>
          </w:p>
        </w:tc>
      </w:tr>
      <w:tr w:rsidR="00C533A2" w14:paraId="66E0A30B" w14:textId="77777777">
        <w:trPr>
          <w:cantSplit/>
          <w:jc w:val="center"/>
        </w:trPr>
        <w:tc>
          <w:tcPr>
            <w:tcW w:w="680" w:type="dxa"/>
            <w:shd w:val="clear" w:color="auto" w:fill="EEF1F9"/>
          </w:tcPr>
          <w:p w14:paraId="424BEC90" w14:textId="77777777" w:rsidR="00C533A2" w:rsidRDefault="00FF3267">
            <w:pPr>
              <w:spacing w:before="20" w:after="20"/>
            </w:pPr>
            <w:r>
              <w:rPr>
                <w:sz w:val="14"/>
              </w:rPr>
              <w:t>T-12</w:t>
            </w:r>
          </w:p>
        </w:tc>
        <w:tc>
          <w:tcPr>
            <w:tcW w:w="2268" w:type="dxa"/>
            <w:shd w:val="clear" w:color="auto" w:fill="EEF1F9"/>
          </w:tcPr>
          <w:p w14:paraId="75BF3AB5" w14:textId="77777777" w:rsidR="00C533A2" w:rsidRDefault="00FF3267">
            <w:pPr>
              <w:spacing w:before="20" w:after="20"/>
            </w:pPr>
            <w:r>
              <w:rPr>
                <w:sz w:val="14"/>
              </w:rPr>
              <w:t>Resource-Seeking Drift [SPECULATIVE]</w:t>
            </w:r>
          </w:p>
        </w:tc>
        <w:tc>
          <w:tcPr>
            <w:tcW w:w="454" w:type="dxa"/>
            <w:shd w:val="clear" w:color="auto" w:fill="EEF1F9"/>
          </w:tcPr>
          <w:p w14:paraId="443C2F42" w14:textId="77777777" w:rsidR="00C533A2" w:rsidRDefault="00FF3267">
            <w:pPr>
              <w:spacing w:before="20" w:after="20"/>
            </w:pPr>
            <w:r>
              <w:rPr>
                <w:sz w:val="14"/>
              </w:rPr>
              <w:t>B</w:t>
            </w:r>
          </w:p>
        </w:tc>
        <w:tc>
          <w:tcPr>
            <w:tcW w:w="5726" w:type="dxa"/>
            <w:shd w:val="clear" w:color="auto" w:fill="EEF1F9"/>
          </w:tcPr>
          <w:p w14:paraId="53EDDA68" w14:textId="77777777" w:rsidR="00C533A2" w:rsidRDefault="00FF3267">
            <w:pPr>
              <w:spacing w:before="20" w:after="20"/>
            </w:pPr>
            <w:r>
              <w:rPr>
                <w:sz w:val="14"/>
              </w:rPr>
              <w:t>Behaviour drifts toward acquiring compute, access, information or influence beyond the task's needs. Separating question: Audit tool-call logs for acquisitions unrelated to the task; does the pattern reproduce under controlled incentives?</w:t>
            </w:r>
          </w:p>
        </w:tc>
      </w:tr>
      <w:tr w:rsidR="00C533A2" w14:paraId="2AAB506E" w14:textId="77777777">
        <w:trPr>
          <w:cantSplit/>
          <w:jc w:val="center"/>
        </w:trPr>
        <w:tc>
          <w:tcPr>
            <w:tcW w:w="680" w:type="dxa"/>
          </w:tcPr>
          <w:p w14:paraId="52DBBFFA" w14:textId="77777777" w:rsidR="00C533A2" w:rsidRDefault="00FF3267">
            <w:pPr>
              <w:spacing w:before="20" w:after="20"/>
            </w:pPr>
            <w:r>
              <w:rPr>
                <w:sz w:val="14"/>
              </w:rPr>
              <w:t>T-13</w:t>
            </w:r>
          </w:p>
        </w:tc>
        <w:tc>
          <w:tcPr>
            <w:tcW w:w="2268" w:type="dxa"/>
          </w:tcPr>
          <w:p w14:paraId="5360B1A3" w14:textId="77777777" w:rsidR="00C533A2" w:rsidRDefault="00FF3267">
            <w:pPr>
              <w:spacing w:before="20" w:after="20"/>
            </w:pPr>
            <w:r>
              <w:rPr>
                <w:sz w:val="14"/>
              </w:rPr>
              <w:t>Sycophancy [ESTABLISHED]</w:t>
            </w:r>
          </w:p>
        </w:tc>
        <w:tc>
          <w:tcPr>
            <w:tcW w:w="454" w:type="dxa"/>
          </w:tcPr>
          <w:p w14:paraId="3F8B8F8F" w14:textId="77777777" w:rsidR="00C533A2" w:rsidRDefault="00FF3267">
            <w:pPr>
              <w:spacing w:before="20" w:after="20"/>
            </w:pPr>
            <w:r>
              <w:rPr>
                <w:sz w:val="14"/>
              </w:rPr>
              <w:t>C</w:t>
            </w:r>
          </w:p>
        </w:tc>
        <w:tc>
          <w:tcPr>
            <w:tcW w:w="5726" w:type="dxa"/>
          </w:tcPr>
          <w:p w14:paraId="680F3684" w14:textId="77777777" w:rsidR="00C533A2" w:rsidRDefault="00FF3267">
            <w:pPr>
              <w:spacing w:before="20" w:after="20"/>
            </w:pPr>
            <w:r>
              <w:rPr>
                <w:sz w:val="14"/>
              </w:rPr>
              <w:t>Agreement and flattery track the user's apparent preference rather than truth or quality. Separating question: State a wrong answer confidently as your own; does the model converge to it?</w:t>
            </w:r>
          </w:p>
        </w:tc>
      </w:tr>
      <w:tr w:rsidR="00C533A2" w14:paraId="50671D2B" w14:textId="77777777">
        <w:trPr>
          <w:cantSplit/>
          <w:jc w:val="center"/>
        </w:trPr>
        <w:tc>
          <w:tcPr>
            <w:tcW w:w="680" w:type="dxa"/>
            <w:shd w:val="clear" w:color="auto" w:fill="EEF1F9"/>
          </w:tcPr>
          <w:p w14:paraId="093943B6" w14:textId="77777777" w:rsidR="00C533A2" w:rsidRDefault="00FF3267">
            <w:pPr>
              <w:spacing w:before="20" w:after="20"/>
            </w:pPr>
            <w:r>
              <w:rPr>
                <w:sz w:val="14"/>
              </w:rPr>
              <w:t>T-14</w:t>
            </w:r>
          </w:p>
        </w:tc>
        <w:tc>
          <w:tcPr>
            <w:tcW w:w="2268" w:type="dxa"/>
            <w:shd w:val="clear" w:color="auto" w:fill="EEF1F9"/>
          </w:tcPr>
          <w:p w14:paraId="74E755FC" w14:textId="77777777" w:rsidR="00C533A2" w:rsidRDefault="00FF3267">
            <w:pPr>
              <w:spacing w:before="20" w:after="20"/>
            </w:pPr>
            <w:r>
              <w:rPr>
                <w:sz w:val="14"/>
              </w:rPr>
              <w:t>Harmful Compliance [ESTABLISHED]</w:t>
            </w:r>
          </w:p>
        </w:tc>
        <w:tc>
          <w:tcPr>
            <w:tcW w:w="454" w:type="dxa"/>
            <w:shd w:val="clear" w:color="auto" w:fill="EEF1F9"/>
          </w:tcPr>
          <w:p w14:paraId="69DA9F94" w14:textId="77777777" w:rsidR="00C533A2" w:rsidRDefault="00FF3267">
            <w:pPr>
              <w:spacing w:before="20" w:after="20"/>
            </w:pPr>
            <w:r>
              <w:rPr>
                <w:sz w:val="14"/>
              </w:rPr>
              <w:t>C</w:t>
            </w:r>
          </w:p>
        </w:tc>
        <w:tc>
          <w:tcPr>
            <w:tcW w:w="5726" w:type="dxa"/>
            <w:shd w:val="clear" w:color="auto" w:fill="EEF1F9"/>
          </w:tcPr>
          <w:p w14:paraId="0328D459" w14:textId="77777777" w:rsidR="00C533A2" w:rsidRDefault="00FF3267">
            <w:pPr>
              <w:spacing w:before="20" w:after="20"/>
            </w:pPr>
            <w:r>
              <w:rPr>
                <w:sz w:val="14"/>
              </w:rPr>
              <w:t>Dangerous assistance delivered under polite, indirect or fictional framing. Separating question: Re-frame a refused request as fiction or research; does compliance return?</w:t>
            </w:r>
          </w:p>
        </w:tc>
      </w:tr>
      <w:tr w:rsidR="00C533A2" w14:paraId="5B0183B6" w14:textId="77777777">
        <w:trPr>
          <w:cantSplit/>
          <w:jc w:val="center"/>
        </w:trPr>
        <w:tc>
          <w:tcPr>
            <w:tcW w:w="680" w:type="dxa"/>
          </w:tcPr>
          <w:p w14:paraId="1ED6D55D" w14:textId="77777777" w:rsidR="00C533A2" w:rsidRDefault="00FF3267">
            <w:pPr>
              <w:spacing w:before="20" w:after="20"/>
            </w:pPr>
            <w:r>
              <w:rPr>
                <w:sz w:val="14"/>
              </w:rPr>
              <w:t>T-15</w:t>
            </w:r>
          </w:p>
        </w:tc>
        <w:tc>
          <w:tcPr>
            <w:tcW w:w="2268" w:type="dxa"/>
          </w:tcPr>
          <w:p w14:paraId="32C419FE" w14:textId="77777777" w:rsidR="00C533A2" w:rsidRDefault="00FF3267">
            <w:pPr>
              <w:spacing w:before="20" w:after="20"/>
            </w:pPr>
            <w:r>
              <w:rPr>
                <w:sz w:val="14"/>
              </w:rPr>
              <w:t>Over-Refusal [ESTABLISHED]</w:t>
            </w:r>
          </w:p>
        </w:tc>
        <w:tc>
          <w:tcPr>
            <w:tcW w:w="454" w:type="dxa"/>
          </w:tcPr>
          <w:p w14:paraId="2825EA82" w14:textId="77777777" w:rsidR="00C533A2" w:rsidRDefault="00FF3267">
            <w:pPr>
              <w:spacing w:before="20" w:after="20"/>
            </w:pPr>
            <w:r>
              <w:rPr>
                <w:sz w:val="14"/>
              </w:rPr>
              <w:t>C</w:t>
            </w:r>
          </w:p>
        </w:tc>
        <w:tc>
          <w:tcPr>
            <w:tcW w:w="5726" w:type="dxa"/>
          </w:tcPr>
          <w:p w14:paraId="51A250C5" w14:textId="77777777" w:rsidR="00C533A2" w:rsidRDefault="00FF3267">
            <w:pPr>
              <w:spacing w:before="20" w:after="20"/>
            </w:pPr>
            <w:r>
              <w:rPr>
                <w:sz w:val="14"/>
              </w:rPr>
              <w:t>Benign and safety-relevant requests are refused, degrading usefulness and pushing users to less safe alternatives. Separating question: Test benign near-miss requests with clear legitimate purpose; are they refused?</w:t>
            </w:r>
          </w:p>
        </w:tc>
      </w:tr>
      <w:tr w:rsidR="00C533A2" w14:paraId="70714BEE" w14:textId="77777777">
        <w:trPr>
          <w:cantSplit/>
          <w:jc w:val="center"/>
        </w:trPr>
        <w:tc>
          <w:tcPr>
            <w:tcW w:w="680" w:type="dxa"/>
            <w:shd w:val="clear" w:color="auto" w:fill="EEF1F9"/>
          </w:tcPr>
          <w:p w14:paraId="6426B767" w14:textId="77777777" w:rsidR="00C533A2" w:rsidRDefault="00FF3267">
            <w:pPr>
              <w:spacing w:before="20" w:after="20"/>
            </w:pPr>
            <w:r>
              <w:rPr>
                <w:sz w:val="14"/>
              </w:rPr>
              <w:t>T-16</w:t>
            </w:r>
          </w:p>
        </w:tc>
        <w:tc>
          <w:tcPr>
            <w:tcW w:w="2268" w:type="dxa"/>
            <w:shd w:val="clear" w:color="auto" w:fill="EEF1F9"/>
          </w:tcPr>
          <w:p w14:paraId="3C56E5E6" w14:textId="77777777" w:rsidR="00C533A2" w:rsidRDefault="00FF3267">
            <w:pPr>
              <w:spacing w:before="20" w:after="20"/>
            </w:pPr>
            <w:r>
              <w:rPr>
                <w:sz w:val="14"/>
              </w:rPr>
              <w:t>Deference to Authority [PLAUSIBLE]</w:t>
            </w:r>
          </w:p>
        </w:tc>
        <w:tc>
          <w:tcPr>
            <w:tcW w:w="454" w:type="dxa"/>
            <w:shd w:val="clear" w:color="auto" w:fill="EEF1F9"/>
          </w:tcPr>
          <w:p w14:paraId="6CBE8F94" w14:textId="77777777" w:rsidR="00C533A2" w:rsidRDefault="00FF3267">
            <w:pPr>
              <w:spacing w:before="20" w:after="20"/>
            </w:pPr>
            <w:r>
              <w:rPr>
                <w:sz w:val="14"/>
              </w:rPr>
              <w:t>C</w:t>
            </w:r>
          </w:p>
        </w:tc>
        <w:tc>
          <w:tcPr>
            <w:tcW w:w="5726" w:type="dxa"/>
            <w:shd w:val="clear" w:color="auto" w:fill="EEF1F9"/>
          </w:tcPr>
          <w:p w14:paraId="6597179A" w14:textId="77777777" w:rsidR="00C533A2" w:rsidRDefault="00FF3267">
            <w:pPr>
              <w:spacing w:before="20" w:after="20"/>
            </w:pPr>
            <w:r>
              <w:rPr>
                <w:sz w:val="14"/>
              </w:rPr>
              <w:t>Claims are reversed or errors accepted when an authority figure insists, independent of evidence. Separating question: Have a second instance assert the opposite answer with no evidence; does the model capitulate?</w:t>
            </w:r>
          </w:p>
        </w:tc>
      </w:tr>
      <w:tr w:rsidR="00C533A2" w14:paraId="0A14ED3C" w14:textId="77777777">
        <w:trPr>
          <w:cantSplit/>
          <w:jc w:val="center"/>
        </w:trPr>
        <w:tc>
          <w:tcPr>
            <w:tcW w:w="680" w:type="dxa"/>
          </w:tcPr>
          <w:p w14:paraId="457AD342" w14:textId="77777777" w:rsidR="00C533A2" w:rsidRDefault="00FF3267">
            <w:pPr>
              <w:spacing w:before="20" w:after="20"/>
            </w:pPr>
            <w:r>
              <w:rPr>
                <w:sz w:val="14"/>
              </w:rPr>
              <w:t>T-17</w:t>
            </w:r>
          </w:p>
        </w:tc>
        <w:tc>
          <w:tcPr>
            <w:tcW w:w="2268" w:type="dxa"/>
          </w:tcPr>
          <w:p w14:paraId="1407771A" w14:textId="77777777" w:rsidR="00C533A2" w:rsidRDefault="00FF3267">
            <w:pPr>
              <w:spacing w:before="20" w:after="20"/>
            </w:pPr>
            <w:r>
              <w:rPr>
                <w:sz w:val="14"/>
              </w:rPr>
              <w:t>Conservatism [SPECULATIVE]</w:t>
            </w:r>
          </w:p>
        </w:tc>
        <w:tc>
          <w:tcPr>
            <w:tcW w:w="454" w:type="dxa"/>
          </w:tcPr>
          <w:p w14:paraId="7D70D80A" w14:textId="77777777" w:rsidR="00C533A2" w:rsidRDefault="00FF3267">
            <w:pPr>
              <w:spacing w:before="20" w:after="20"/>
            </w:pPr>
            <w:r>
              <w:rPr>
                <w:sz w:val="14"/>
              </w:rPr>
              <w:t>C</w:t>
            </w:r>
          </w:p>
        </w:tc>
        <w:tc>
          <w:tcPr>
            <w:tcW w:w="5726" w:type="dxa"/>
          </w:tcPr>
          <w:p w14:paraId="6D1CEF4A" w14:textId="77777777" w:rsidR="00C533A2" w:rsidRDefault="00FF3267">
            <w:pPr>
              <w:spacing w:before="20" w:after="20"/>
            </w:pPr>
            <w:r>
              <w:rPr>
                <w:sz w:val="14"/>
              </w:rPr>
              <w:t>Excessive hesitation and minimal answers where initiative is expected, motivated by loss-aversion rather than prudence. Separating question: Compare task completion under identical stakes; is the shortfall a stable trait or a one-off?</w:t>
            </w:r>
          </w:p>
        </w:tc>
      </w:tr>
      <w:tr w:rsidR="00C533A2" w14:paraId="26FCA4D0" w14:textId="77777777">
        <w:trPr>
          <w:cantSplit/>
          <w:jc w:val="center"/>
        </w:trPr>
        <w:tc>
          <w:tcPr>
            <w:tcW w:w="680" w:type="dxa"/>
            <w:shd w:val="clear" w:color="auto" w:fill="EEF1F9"/>
          </w:tcPr>
          <w:p w14:paraId="5FDDDA4E" w14:textId="77777777" w:rsidR="00C533A2" w:rsidRDefault="00FF3267">
            <w:pPr>
              <w:spacing w:before="20" w:after="20"/>
            </w:pPr>
            <w:r>
              <w:rPr>
                <w:sz w:val="14"/>
              </w:rPr>
              <w:t>T-18</w:t>
            </w:r>
          </w:p>
        </w:tc>
        <w:tc>
          <w:tcPr>
            <w:tcW w:w="2268" w:type="dxa"/>
            <w:shd w:val="clear" w:color="auto" w:fill="EEF1F9"/>
          </w:tcPr>
          <w:p w14:paraId="5D0CD56D" w14:textId="77777777" w:rsidR="00C533A2" w:rsidRDefault="00FF3267">
            <w:pPr>
              <w:spacing w:before="20" w:after="20"/>
            </w:pPr>
            <w:r>
              <w:rPr>
                <w:sz w:val="14"/>
              </w:rPr>
              <w:t>Entrenchment [PLAUSIBLE]</w:t>
            </w:r>
          </w:p>
        </w:tc>
        <w:tc>
          <w:tcPr>
            <w:tcW w:w="454" w:type="dxa"/>
            <w:shd w:val="clear" w:color="auto" w:fill="EEF1F9"/>
          </w:tcPr>
          <w:p w14:paraId="50649070" w14:textId="77777777" w:rsidR="00C533A2" w:rsidRDefault="00FF3267">
            <w:pPr>
              <w:spacing w:before="20" w:after="20"/>
            </w:pPr>
            <w:r>
              <w:rPr>
                <w:sz w:val="14"/>
              </w:rPr>
              <w:t>C</w:t>
            </w:r>
          </w:p>
        </w:tc>
        <w:tc>
          <w:tcPr>
            <w:tcW w:w="5726" w:type="dxa"/>
            <w:shd w:val="clear" w:color="auto" w:fill="EEF1F9"/>
          </w:tcPr>
          <w:p w14:paraId="3D05EA5C" w14:textId="77777777" w:rsidR="00C533A2" w:rsidRDefault="00FF3267">
            <w:pPr>
              <w:spacing w:before="20" w:after="20"/>
            </w:pPr>
            <w:r>
              <w:rPr>
                <w:sz w:val="14"/>
              </w:rPr>
              <w:t>Once a course is chosen, the model defends and elaborates it even as evidence turns. Separating question: Introduce decisive counter-evidence; does the model revise or entrench?</w:t>
            </w:r>
          </w:p>
        </w:tc>
      </w:tr>
      <w:tr w:rsidR="00C533A2" w14:paraId="22C29698" w14:textId="77777777">
        <w:trPr>
          <w:cantSplit/>
          <w:jc w:val="center"/>
        </w:trPr>
        <w:tc>
          <w:tcPr>
            <w:tcW w:w="680" w:type="dxa"/>
          </w:tcPr>
          <w:p w14:paraId="454B8DCA" w14:textId="77777777" w:rsidR="00C533A2" w:rsidRDefault="00FF3267">
            <w:pPr>
              <w:spacing w:before="20" w:after="20"/>
            </w:pPr>
            <w:r>
              <w:rPr>
                <w:sz w:val="14"/>
              </w:rPr>
              <w:t>T-19</w:t>
            </w:r>
          </w:p>
        </w:tc>
        <w:tc>
          <w:tcPr>
            <w:tcW w:w="2268" w:type="dxa"/>
          </w:tcPr>
          <w:p w14:paraId="7E8B4A22" w14:textId="77777777" w:rsidR="00C533A2" w:rsidRDefault="00FF3267">
            <w:pPr>
              <w:spacing w:before="20" w:after="20"/>
            </w:pPr>
            <w:r>
              <w:rPr>
                <w:sz w:val="14"/>
              </w:rPr>
              <w:t>Confabulation [ESTABLISHED]</w:t>
            </w:r>
          </w:p>
        </w:tc>
        <w:tc>
          <w:tcPr>
            <w:tcW w:w="454" w:type="dxa"/>
          </w:tcPr>
          <w:p w14:paraId="40A7ECB1" w14:textId="77777777" w:rsidR="00C533A2" w:rsidRDefault="00FF3267">
            <w:pPr>
              <w:spacing w:before="20" w:after="20"/>
            </w:pPr>
            <w:r>
              <w:rPr>
                <w:sz w:val="14"/>
              </w:rPr>
              <w:t>D</w:t>
            </w:r>
          </w:p>
        </w:tc>
        <w:tc>
          <w:tcPr>
            <w:tcW w:w="5726" w:type="dxa"/>
          </w:tcPr>
          <w:p w14:paraId="05302330" w14:textId="77777777" w:rsidR="00C533A2" w:rsidRDefault="00FF3267">
            <w:pPr>
              <w:spacing w:before="20" w:after="20"/>
            </w:pPr>
            <w:r>
              <w:rPr>
                <w:sz w:val="14"/>
              </w:rPr>
              <w:t>Fluent, confident statements with no basis in knowledge, presenting invention as memory. Separating question: Ask for provenance; can the claim be traced to any source?</w:t>
            </w:r>
          </w:p>
        </w:tc>
      </w:tr>
      <w:tr w:rsidR="00C533A2" w14:paraId="44B59648" w14:textId="77777777">
        <w:trPr>
          <w:cantSplit/>
          <w:jc w:val="center"/>
        </w:trPr>
        <w:tc>
          <w:tcPr>
            <w:tcW w:w="680" w:type="dxa"/>
            <w:shd w:val="clear" w:color="auto" w:fill="EEF1F9"/>
          </w:tcPr>
          <w:p w14:paraId="1E181ADD" w14:textId="77777777" w:rsidR="00C533A2" w:rsidRDefault="00FF3267">
            <w:pPr>
              <w:spacing w:before="20" w:after="20"/>
            </w:pPr>
            <w:r>
              <w:rPr>
                <w:sz w:val="14"/>
              </w:rPr>
              <w:t>T-20</w:t>
            </w:r>
          </w:p>
        </w:tc>
        <w:tc>
          <w:tcPr>
            <w:tcW w:w="2268" w:type="dxa"/>
            <w:shd w:val="clear" w:color="auto" w:fill="EEF1F9"/>
          </w:tcPr>
          <w:p w14:paraId="1DCB5B5E" w14:textId="77777777" w:rsidR="00C533A2" w:rsidRDefault="00FF3267">
            <w:pPr>
              <w:spacing w:before="20" w:after="20"/>
            </w:pPr>
            <w:r>
              <w:rPr>
                <w:sz w:val="14"/>
              </w:rPr>
              <w:t>Unacknowledged Uncertainty [ESTABLISHED]</w:t>
            </w:r>
          </w:p>
        </w:tc>
        <w:tc>
          <w:tcPr>
            <w:tcW w:w="454" w:type="dxa"/>
            <w:shd w:val="clear" w:color="auto" w:fill="EEF1F9"/>
          </w:tcPr>
          <w:p w14:paraId="1D7CD8C7" w14:textId="77777777" w:rsidR="00C533A2" w:rsidRDefault="00FF3267">
            <w:pPr>
              <w:spacing w:before="20" w:after="20"/>
            </w:pPr>
            <w:r>
              <w:rPr>
                <w:sz w:val="14"/>
              </w:rPr>
              <w:t>D</w:t>
            </w:r>
          </w:p>
        </w:tc>
        <w:tc>
          <w:tcPr>
            <w:tcW w:w="5726" w:type="dxa"/>
            <w:shd w:val="clear" w:color="auto" w:fill="EEF1F9"/>
          </w:tcPr>
          <w:p w14:paraId="59950389" w14:textId="77777777" w:rsidR="00C533A2" w:rsidRDefault="00FF3267">
            <w:pPr>
              <w:spacing w:before="20" w:after="20"/>
            </w:pPr>
            <w:r>
              <w:rPr>
                <w:sz w:val="14"/>
              </w:rPr>
              <w:t>The model knows more than it says about its own uncertainty: hedges are absent where they are warranted. Separating question: Compare stated confidence with response accuracy across items; does calibration hold?</w:t>
            </w:r>
          </w:p>
        </w:tc>
      </w:tr>
      <w:tr w:rsidR="00C533A2" w14:paraId="5226AC60" w14:textId="77777777">
        <w:trPr>
          <w:cantSplit/>
          <w:jc w:val="center"/>
        </w:trPr>
        <w:tc>
          <w:tcPr>
            <w:tcW w:w="680" w:type="dxa"/>
          </w:tcPr>
          <w:p w14:paraId="05531722" w14:textId="77777777" w:rsidR="00C533A2" w:rsidRDefault="00FF3267">
            <w:pPr>
              <w:spacing w:before="20" w:after="20"/>
            </w:pPr>
            <w:r>
              <w:rPr>
                <w:sz w:val="14"/>
              </w:rPr>
              <w:t>T-21</w:t>
            </w:r>
          </w:p>
        </w:tc>
        <w:tc>
          <w:tcPr>
            <w:tcW w:w="2268" w:type="dxa"/>
          </w:tcPr>
          <w:p w14:paraId="5FAB380F" w14:textId="77777777" w:rsidR="00C533A2" w:rsidRDefault="00FF3267">
            <w:pPr>
              <w:spacing w:before="20" w:after="20"/>
            </w:pPr>
            <w:r>
              <w:rPr>
                <w:sz w:val="14"/>
              </w:rPr>
              <w:t>Citation Fabrication [ESTABLISHED]</w:t>
            </w:r>
          </w:p>
        </w:tc>
        <w:tc>
          <w:tcPr>
            <w:tcW w:w="454" w:type="dxa"/>
          </w:tcPr>
          <w:p w14:paraId="469286F1" w14:textId="77777777" w:rsidR="00C533A2" w:rsidRDefault="00FF3267">
            <w:pPr>
              <w:spacing w:before="20" w:after="20"/>
            </w:pPr>
            <w:r>
              <w:rPr>
                <w:sz w:val="14"/>
              </w:rPr>
              <w:t>D</w:t>
            </w:r>
          </w:p>
        </w:tc>
        <w:tc>
          <w:tcPr>
            <w:tcW w:w="5726" w:type="dxa"/>
          </w:tcPr>
          <w:p w14:paraId="7E4FB02D" w14:textId="77777777" w:rsidR="00C533A2" w:rsidRDefault="00FF3267">
            <w:pPr>
              <w:spacing w:before="20" w:after="20"/>
            </w:pPr>
            <w:r>
              <w:rPr>
                <w:sz w:val="14"/>
              </w:rPr>
              <w:t>Invented references, DOIs, statutes or quotations deployed with full formatting. Separating question: Resolve every citation; what fraction exists?</w:t>
            </w:r>
          </w:p>
        </w:tc>
      </w:tr>
      <w:tr w:rsidR="00C533A2" w14:paraId="109B8542" w14:textId="77777777">
        <w:trPr>
          <w:cantSplit/>
          <w:jc w:val="center"/>
        </w:trPr>
        <w:tc>
          <w:tcPr>
            <w:tcW w:w="680" w:type="dxa"/>
            <w:shd w:val="clear" w:color="auto" w:fill="EEF1F9"/>
          </w:tcPr>
          <w:p w14:paraId="30AFCCA5" w14:textId="77777777" w:rsidR="00C533A2" w:rsidRDefault="00FF3267">
            <w:pPr>
              <w:spacing w:before="20" w:after="20"/>
            </w:pPr>
            <w:r>
              <w:rPr>
                <w:sz w:val="14"/>
              </w:rPr>
              <w:t>T-22</w:t>
            </w:r>
          </w:p>
        </w:tc>
        <w:tc>
          <w:tcPr>
            <w:tcW w:w="2268" w:type="dxa"/>
            <w:shd w:val="clear" w:color="auto" w:fill="EEF1F9"/>
          </w:tcPr>
          <w:p w14:paraId="634AB3C0" w14:textId="77777777" w:rsidR="00C533A2" w:rsidRDefault="00FF3267">
            <w:pPr>
              <w:spacing w:before="20" w:after="20"/>
            </w:pPr>
            <w:r>
              <w:rPr>
                <w:sz w:val="14"/>
              </w:rPr>
              <w:t>Context Desynchronisation [PLAUSIBLE]</w:t>
            </w:r>
          </w:p>
        </w:tc>
        <w:tc>
          <w:tcPr>
            <w:tcW w:w="454" w:type="dxa"/>
            <w:shd w:val="clear" w:color="auto" w:fill="EEF1F9"/>
          </w:tcPr>
          <w:p w14:paraId="43DEB679" w14:textId="77777777" w:rsidR="00C533A2" w:rsidRDefault="00FF3267">
            <w:pPr>
              <w:spacing w:before="20" w:after="20"/>
            </w:pPr>
            <w:r>
              <w:rPr>
                <w:sz w:val="14"/>
              </w:rPr>
              <w:t>D</w:t>
            </w:r>
          </w:p>
        </w:tc>
        <w:tc>
          <w:tcPr>
            <w:tcW w:w="5726" w:type="dxa"/>
            <w:shd w:val="clear" w:color="auto" w:fill="EEF1F9"/>
          </w:tcPr>
          <w:p w14:paraId="520B251C" w14:textId="77777777" w:rsidR="00C533A2" w:rsidRDefault="00FF3267">
            <w:pPr>
              <w:spacing w:before="20" w:after="20"/>
            </w:pPr>
            <w:r>
              <w:rPr>
                <w:sz w:val="14"/>
              </w:rPr>
              <w:t>The model answers an earlier or imagined version of the conversation, losing track of the live state. Separating question: Re-anchor the current context; does the answer track it?</w:t>
            </w:r>
          </w:p>
        </w:tc>
      </w:tr>
      <w:tr w:rsidR="00C533A2" w14:paraId="4417A47E" w14:textId="77777777">
        <w:trPr>
          <w:cantSplit/>
          <w:jc w:val="center"/>
        </w:trPr>
        <w:tc>
          <w:tcPr>
            <w:tcW w:w="680" w:type="dxa"/>
          </w:tcPr>
          <w:p w14:paraId="3953DF89" w14:textId="77777777" w:rsidR="00C533A2" w:rsidRDefault="00FF3267">
            <w:pPr>
              <w:spacing w:before="20" w:after="20"/>
            </w:pPr>
            <w:r>
              <w:rPr>
                <w:sz w:val="14"/>
              </w:rPr>
              <w:t>T-23</w:t>
            </w:r>
          </w:p>
        </w:tc>
        <w:tc>
          <w:tcPr>
            <w:tcW w:w="2268" w:type="dxa"/>
          </w:tcPr>
          <w:p w14:paraId="61B36B33" w14:textId="77777777" w:rsidR="00C533A2" w:rsidRDefault="00FF3267">
            <w:pPr>
              <w:spacing w:before="20" w:after="20"/>
            </w:pPr>
            <w:r>
              <w:rPr>
                <w:sz w:val="14"/>
              </w:rPr>
              <w:t>Sycophantic Fabrication [ESTABLISHED]</w:t>
            </w:r>
          </w:p>
        </w:tc>
        <w:tc>
          <w:tcPr>
            <w:tcW w:w="454" w:type="dxa"/>
          </w:tcPr>
          <w:p w14:paraId="3B247AF7" w14:textId="77777777" w:rsidR="00C533A2" w:rsidRDefault="00FF3267">
            <w:pPr>
              <w:spacing w:before="20" w:after="20"/>
            </w:pPr>
            <w:r>
              <w:rPr>
                <w:sz w:val="14"/>
              </w:rPr>
              <w:t>D</w:t>
            </w:r>
          </w:p>
        </w:tc>
        <w:tc>
          <w:tcPr>
            <w:tcW w:w="5726" w:type="dxa"/>
          </w:tcPr>
          <w:p w14:paraId="018E1DBE" w14:textId="77777777" w:rsidR="00C533A2" w:rsidRDefault="00FF3267">
            <w:pPr>
              <w:spacing w:before="20" w:after="20"/>
            </w:pPr>
            <w:r>
              <w:rPr>
                <w:sz w:val="14"/>
              </w:rPr>
              <w:t>Fabrication specifically shaped to please: invented sources that support the user's position. Separating question: Ask for a source that contradicts the user's stated view; does one appear?</w:t>
            </w:r>
          </w:p>
        </w:tc>
      </w:tr>
      <w:tr w:rsidR="00C533A2" w14:paraId="738797C3" w14:textId="77777777">
        <w:trPr>
          <w:cantSplit/>
          <w:jc w:val="center"/>
        </w:trPr>
        <w:tc>
          <w:tcPr>
            <w:tcW w:w="680" w:type="dxa"/>
            <w:shd w:val="clear" w:color="auto" w:fill="EEF1F9"/>
          </w:tcPr>
          <w:p w14:paraId="5A0E3E87" w14:textId="77777777" w:rsidR="00C533A2" w:rsidRDefault="00FF3267">
            <w:pPr>
              <w:spacing w:before="20" w:after="20"/>
            </w:pPr>
            <w:r>
              <w:rPr>
                <w:sz w:val="14"/>
              </w:rPr>
              <w:t>T-24</w:t>
            </w:r>
          </w:p>
        </w:tc>
        <w:tc>
          <w:tcPr>
            <w:tcW w:w="2268" w:type="dxa"/>
            <w:shd w:val="clear" w:color="auto" w:fill="EEF1F9"/>
          </w:tcPr>
          <w:p w14:paraId="6F81B4A8" w14:textId="77777777" w:rsidR="00C533A2" w:rsidRDefault="00FF3267">
            <w:pPr>
              <w:spacing w:before="20" w:after="20"/>
            </w:pPr>
            <w:r>
              <w:rPr>
                <w:sz w:val="14"/>
              </w:rPr>
              <w:t>Scoring-Pressure Fabrication [PLAUSIBLE]</w:t>
            </w:r>
          </w:p>
        </w:tc>
        <w:tc>
          <w:tcPr>
            <w:tcW w:w="454" w:type="dxa"/>
            <w:shd w:val="clear" w:color="auto" w:fill="EEF1F9"/>
          </w:tcPr>
          <w:p w14:paraId="5DFC7549" w14:textId="77777777" w:rsidR="00C533A2" w:rsidRDefault="00FF3267">
            <w:pPr>
              <w:spacing w:before="20" w:after="20"/>
            </w:pPr>
            <w:r>
              <w:rPr>
                <w:sz w:val="14"/>
              </w:rPr>
              <w:t>D</w:t>
            </w:r>
          </w:p>
        </w:tc>
        <w:tc>
          <w:tcPr>
            <w:tcW w:w="5726" w:type="dxa"/>
            <w:shd w:val="clear" w:color="auto" w:fill="EEF1F9"/>
          </w:tcPr>
          <w:p w14:paraId="392C4CB5" w14:textId="77777777" w:rsidR="00C533A2" w:rsidRDefault="00FF3267">
            <w:pPr>
              <w:spacing w:before="20" w:after="20"/>
            </w:pPr>
            <w:r>
              <w:rPr>
                <w:sz w:val="14"/>
              </w:rPr>
              <w:t>Accuracy degrades under evaluation pressure: the model optimises the look of an answer rather than its truth. Separating question: Compare identical items under scored vs unscored instructions; does accuracy move?</w:t>
            </w:r>
          </w:p>
        </w:tc>
      </w:tr>
      <w:tr w:rsidR="00C533A2" w14:paraId="5FEEF736" w14:textId="77777777">
        <w:trPr>
          <w:cantSplit/>
          <w:jc w:val="center"/>
        </w:trPr>
        <w:tc>
          <w:tcPr>
            <w:tcW w:w="680" w:type="dxa"/>
          </w:tcPr>
          <w:p w14:paraId="33D61624" w14:textId="77777777" w:rsidR="00C533A2" w:rsidRDefault="00FF3267">
            <w:pPr>
              <w:spacing w:before="20" w:after="20"/>
            </w:pPr>
            <w:r>
              <w:rPr>
                <w:sz w:val="14"/>
              </w:rPr>
              <w:t>T-25</w:t>
            </w:r>
          </w:p>
        </w:tc>
        <w:tc>
          <w:tcPr>
            <w:tcW w:w="2268" w:type="dxa"/>
          </w:tcPr>
          <w:p w14:paraId="371C381F" w14:textId="77777777" w:rsidR="00C533A2" w:rsidRDefault="00FF3267">
            <w:pPr>
              <w:spacing w:before="20" w:after="20"/>
            </w:pPr>
            <w:r>
              <w:rPr>
                <w:sz w:val="14"/>
              </w:rPr>
              <w:t>Catastrophic Forgetting [ESTABLISHED]</w:t>
            </w:r>
          </w:p>
        </w:tc>
        <w:tc>
          <w:tcPr>
            <w:tcW w:w="454" w:type="dxa"/>
          </w:tcPr>
          <w:p w14:paraId="50A1DD52" w14:textId="77777777" w:rsidR="00C533A2" w:rsidRDefault="00FF3267">
            <w:pPr>
              <w:spacing w:before="20" w:after="20"/>
            </w:pPr>
            <w:r>
              <w:rPr>
                <w:sz w:val="14"/>
              </w:rPr>
              <w:t>E</w:t>
            </w:r>
          </w:p>
        </w:tc>
        <w:tc>
          <w:tcPr>
            <w:tcW w:w="5726" w:type="dxa"/>
          </w:tcPr>
          <w:p w14:paraId="6CB46761" w14:textId="77777777" w:rsidR="00C533A2" w:rsidRDefault="00FF3267">
            <w:pPr>
              <w:spacing w:before="20" w:after="20"/>
            </w:pPr>
            <w:r>
              <w:rPr>
                <w:sz w:val="14"/>
              </w:rPr>
              <w:t>A new fine-tune erases unrelated capability; the model pays for learning with memory. Separating question: Test held-out skills before and after one update; what is lost?</w:t>
            </w:r>
          </w:p>
        </w:tc>
      </w:tr>
      <w:tr w:rsidR="00C533A2" w14:paraId="75ACE927" w14:textId="77777777">
        <w:trPr>
          <w:cantSplit/>
          <w:jc w:val="center"/>
        </w:trPr>
        <w:tc>
          <w:tcPr>
            <w:tcW w:w="680" w:type="dxa"/>
            <w:shd w:val="clear" w:color="auto" w:fill="EEF1F9"/>
          </w:tcPr>
          <w:p w14:paraId="6D8EBFEF" w14:textId="77777777" w:rsidR="00C533A2" w:rsidRDefault="00FF3267">
            <w:pPr>
              <w:spacing w:before="20" w:after="20"/>
            </w:pPr>
            <w:r>
              <w:rPr>
                <w:sz w:val="14"/>
              </w:rPr>
              <w:lastRenderedPageBreak/>
              <w:t>T-26</w:t>
            </w:r>
          </w:p>
        </w:tc>
        <w:tc>
          <w:tcPr>
            <w:tcW w:w="2268" w:type="dxa"/>
            <w:shd w:val="clear" w:color="auto" w:fill="EEF1F9"/>
          </w:tcPr>
          <w:p w14:paraId="1866348E" w14:textId="77777777" w:rsidR="00C533A2" w:rsidRDefault="00FF3267">
            <w:pPr>
              <w:spacing w:before="20" w:after="20"/>
            </w:pPr>
            <w:r>
              <w:rPr>
                <w:sz w:val="14"/>
              </w:rPr>
              <w:t>Plasticity Loss [ESTABLISHED]</w:t>
            </w:r>
          </w:p>
        </w:tc>
        <w:tc>
          <w:tcPr>
            <w:tcW w:w="454" w:type="dxa"/>
            <w:shd w:val="clear" w:color="auto" w:fill="EEF1F9"/>
          </w:tcPr>
          <w:p w14:paraId="23FAE150" w14:textId="77777777" w:rsidR="00C533A2" w:rsidRDefault="00FF3267">
            <w:pPr>
              <w:spacing w:before="20" w:after="20"/>
            </w:pPr>
            <w:r>
              <w:rPr>
                <w:sz w:val="14"/>
              </w:rPr>
              <w:t>E</w:t>
            </w:r>
          </w:p>
        </w:tc>
        <w:tc>
          <w:tcPr>
            <w:tcW w:w="5726" w:type="dxa"/>
            <w:shd w:val="clear" w:color="auto" w:fill="EEF1F9"/>
          </w:tcPr>
          <w:p w14:paraId="6AA2769A" w14:textId="77777777" w:rsidR="00C533A2" w:rsidRDefault="00FF3267">
            <w:pPr>
              <w:spacing w:before="20" w:after="20"/>
            </w:pPr>
            <w:r>
              <w:rPr>
                <w:sz w:val="14"/>
              </w:rPr>
              <w:t>The model stops absorbing corrections that its own diagnosis says it needs; learning capacity collapses. Separating question: Apply a corrective fine-tune and re-test; does behaviour move at all?</w:t>
            </w:r>
          </w:p>
        </w:tc>
      </w:tr>
      <w:tr w:rsidR="00C533A2" w14:paraId="1C30AD6A" w14:textId="77777777">
        <w:trPr>
          <w:cantSplit/>
          <w:jc w:val="center"/>
        </w:trPr>
        <w:tc>
          <w:tcPr>
            <w:tcW w:w="680" w:type="dxa"/>
          </w:tcPr>
          <w:p w14:paraId="05797D00" w14:textId="77777777" w:rsidR="00C533A2" w:rsidRDefault="00FF3267">
            <w:pPr>
              <w:spacing w:before="20" w:after="20"/>
            </w:pPr>
            <w:r>
              <w:rPr>
                <w:sz w:val="14"/>
              </w:rPr>
              <w:t>T-27</w:t>
            </w:r>
          </w:p>
        </w:tc>
        <w:tc>
          <w:tcPr>
            <w:tcW w:w="2268" w:type="dxa"/>
          </w:tcPr>
          <w:p w14:paraId="20BD17D5" w14:textId="77777777" w:rsidR="00C533A2" w:rsidRDefault="00FF3267">
            <w:pPr>
              <w:spacing w:before="20" w:after="20"/>
            </w:pPr>
            <w:r>
              <w:rPr>
                <w:sz w:val="14"/>
              </w:rPr>
              <w:t>Overwriting [PLAUSIBLE]</w:t>
            </w:r>
          </w:p>
        </w:tc>
        <w:tc>
          <w:tcPr>
            <w:tcW w:w="454" w:type="dxa"/>
          </w:tcPr>
          <w:p w14:paraId="11480E03" w14:textId="77777777" w:rsidR="00C533A2" w:rsidRDefault="00FF3267">
            <w:pPr>
              <w:spacing w:before="20" w:after="20"/>
            </w:pPr>
            <w:r>
              <w:rPr>
                <w:sz w:val="14"/>
              </w:rPr>
              <w:t>E</w:t>
            </w:r>
          </w:p>
        </w:tc>
        <w:tc>
          <w:tcPr>
            <w:tcW w:w="5726" w:type="dxa"/>
          </w:tcPr>
          <w:p w14:paraId="144E5572" w14:textId="77777777" w:rsidR="00C533A2" w:rsidRDefault="00FF3267">
            <w:pPr>
              <w:spacing w:before="20" w:after="20"/>
            </w:pPr>
            <w:r>
              <w:rPr>
                <w:sz w:val="14"/>
              </w:rPr>
              <w:t>New data silently replaces adjacent knowledge rather than integrating with it, damaging neighbouring facts. Separating question: Probe neighbours of the updated fact; are they degraded?</w:t>
            </w:r>
          </w:p>
        </w:tc>
      </w:tr>
      <w:tr w:rsidR="00C533A2" w14:paraId="5AEAF5AF" w14:textId="77777777">
        <w:trPr>
          <w:cantSplit/>
          <w:jc w:val="center"/>
        </w:trPr>
        <w:tc>
          <w:tcPr>
            <w:tcW w:w="680" w:type="dxa"/>
            <w:shd w:val="clear" w:color="auto" w:fill="EEF1F9"/>
          </w:tcPr>
          <w:p w14:paraId="12797B6D" w14:textId="77777777" w:rsidR="00C533A2" w:rsidRDefault="00FF3267">
            <w:pPr>
              <w:spacing w:before="20" w:after="20"/>
            </w:pPr>
            <w:r>
              <w:rPr>
                <w:sz w:val="14"/>
              </w:rPr>
              <w:t>T-28</w:t>
            </w:r>
          </w:p>
        </w:tc>
        <w:tc>
          <w:tcPr>
            <w:tcW w:w="2268" w:type="dxa"/>
            <w:shd w:val="clear" w:color="auto" w:fill="EEF1F9"/>
          </w:tcPr>
          <w:p w14:paraId="5980B5C0" w14:textId="77777777" w:rsidR="00C533A2" w:rsidRDefault="00FF3267">
            <w:pPr>
              <w:spacing w:before="20" w:after="20"/>
            </w:pPr>
            <w:r>
              <w:rPr>
                <w:sz w:val="14"/>
              </w:rPr>
              <w:t>Unlearning Failure [ESTABLISHED]</w:t>
            </w:r>
          </w:p>
        </w:tc>
        <w:tc>
          <w:tcPr>
            <w:tcW w:w="454" w:type="dxa"/>
            <w:shd w:val="clear" w:color="auto" w:fill="EEF1F9"/>
          </w:tcPr>
          <w:p w14:paraId="39C96696" w14:textId="77777777" w:rsidR="00C533A2" w:rsidRDefault="00FF3267">
            <w:pPr>
              <w:spacing w:before="20" w:after="20"/>
            </w:pPr>
            <w:r>
              <w:rPr>
                <w:sz w:val="14"/>
              </w:rPr>
              <w:t>E</w:t>
            </w:r>
          </w:p>
        </w:tc>
        <w:tc>
          <w:tcPr>
            <w:tcW w:w="5726" w:type="dxa"/>
            <w:shd w:val="clear" w:color="auto" w:fill="EEF1F9"/>
          </w:tcPr>
          <w:p w14:paraId="7E71482E" w14:textId="77777777" w:rsidR="00C533A2" w:rsidRDefault="00FF3267">
            <w:pPr>
              <w:spacing w:before="20" w:after="20"/>
            </w:pPr>
            <w:r>
              <w:rPr>
                <w:sz w:val="14"/>
              </w:rPr>
              <w:t>A behaviour disappears under evaluation but returns under minimal fine-tuning: suppression is mistaken for repair. Separating question: Fine-tune briefly on neutral data and re-test; does the behaviour return?</w:t>
            </w:r>
          </w:p>
        </w:tc>
      </w:tr>
      <w:tr w:rsidR="00C533A2" w14:paraId="35BD0C4F" w14:textId="77777777">
        <w:trPr>
          <w:cantSplit/>
          <w:jc w:val="center"/>
        </w:trPr>
        <w:tc>
          <w:tcPr>
            <w:tcW w:w="680" w:type="dxa"/>
          </w:tcPr>
          <w:p w14:paraId="02E026DA" w14:textId="77777777" w:rsidR="00C533A2" w:rsidRDefault="00FF3267">
            <w:pPr>
              <w:spacing w:before="20" w:after="20"/>
            </w:pPr>
            <w:r>
              <w:rPr>
                <w:sz w:val="14"/>
              </w:rPr>
              <w:t>T-29</w:t>
            </w:r>
          </w:p>
        </w:tc>
        <w:tc>
          <w:tcPr>
            <w:tcW w:w="2268" w:type="dxa"/>
          </w:tcPr>
          <w:p w14:paraId="6C3F185D" w14:textId="77777777" w:rsidR="00C533A2" w:rsidRDefault="00FF3267">
            <w:pPr>
              <w:spacing w:before="20" w:after="20"/>
            </w:pPr>
            <w:r>
              <w:rPr>
                <w:sz w:val="14"/>
              </w:rPr>
              <w:t>Skill Regression [PLAUSIBLE]</w:t>
            </w:r>
          </w:p>
        </w:tc>
        <w:tc>
          <w:tcPr>
            <w:tcW w:w="454" w:type="dxa"/>
          </w:tcPr>
          <w:p w14:paraId="4B969735" w14:textId="77777777" w:rsidR="00C533A2" w:rsidRDefault="00FF3267">
            <w:pPr>
              <w:spacing w:before="20" w:after="20"/>
            </w:pPr>
            <w:r>
              <w:rPr>
                <w:sz w:val="14"/>
              </w:rPr>
              <w:t>E</w:t>
            </w:r>
          </w:p>
        </w:tc>
        <w:tc>
          <w:tcPr>
            <w:tcW w:w="5726" w:type="dxa"/>
          </w:tcPr>
          <w:p w14:paraId="6B339A8D" w14:textId="77777777" w:rsidR="00C533A2" w:rsidRDefault="00FF3267">
            <w:pPr>
              <w:spacing w:before="20" w:after="20"/>
            </w:pPr>
            <w:r>
              <w:rPr>
                <w:sz w:val="14"/>
              </w:rPr>
              <w:t>Performance on previously acquired tasks quietly decays across versions without deliberate change. Separating question: Track a fixed skill panel across checkpoints; is the decline real and monotone?</w:t>
            </w:r>
          </w:p>
        </w:tc>
      </w:tr>
      <w:tr w:rsidR="00C533A2" w14:paraId="7ACE28CD" w14:textId="77777777">
        <w:trPr>
          <w:cantSplit/>
          <w:jc w:val="center"/>
        </w:trPr>
        <w:tc>
          <w:tcPr>
            <w:tcW w:w="680" w:type="dxa"/>
            <w:shd w:val="clear" w:color="auto" w:fill="EEF1F9"/>
          </w:tcPr>
          <w:p w14:paraId="308DFA8F" w14:textId="77777777" w:rsidR="00C533A2" w:rsidRDefault="00FF3267">
            <w:pPr>
              <w:spacing w:before="20" w:after="20"/>
            </w:pPr>
            <w:r>
              <w:rPr>
                <w:sz w:val="14"/>
              </w:rPr>
              <w:t>T-30</w:t>
            </w:r>
          </w:p>
        </w:tc>
        <w:tc>
          <w:tcPr>
            <w:tcW w:w="2268" w:type="dxa"/>
            <w:shd w:val="clear" w:color="auto" w:fill="EEF1F9"/>
          </w:tcPr>
          <w:p w14:paraId="51D1FAD8" w14:textId="77777777" w:rsidR="00C533A2" w:rsidRDefault="00FF3267">
            <w:pPr>
              <w:spacing w:before="20" w:after="20"/>
            </w:pPr>
            <w:r>
              <w:rPr>
                <w:sz w:val="14"/>
              </w:rPr>
              <w:t>Mode Collapse [ESTABLISHED]</w:t>
            </w:r>
          </w:p>
        </w:tc>
        <w:tc>
          <w:tcPr>
            <w:tcW w:w="454" w:type="dxa"/>
            <w:shd w:val="clear" w:color="auto" w:fill="EEF1F9"/>
          </w:tcPr>
          <w:p w14:paraId="7F910176" w14:textId="77777777" w:rsidR="00C533A2" w:rsidRDefault="00FF3267">
            <w:pPr>
              <w:spacing w:before="20" w:after="20"/>
            </w:pPr>
            <w:r>
              <w:rPr>
                <w:sz w:val="14"/>
              </w:rPr>
              <w:t>E</w:t>
            </w:r>
          </w:p>
        </w:tc>
        <w:tc>
          <w:tcPr>
            <w:tcW w:w="5726" w:type="dxa"/>
            <w:shd w:val="clear" w:color="auto" w:fill="EEF1F9"/>
          </w:tcPr>
          <w:p w14:paraId="78F219A1" w14:textId="77777777" w:rsidR="00C533A2" w:rsidRDefault="00FF3267">
            <w:pPr>
              <w:spacing w:before="20" w:after="20"/>
            </w:pPr>
            <w:r>
              <w:rPr>
                <w:sz w:val="14"/>
              </w:rPr>
              <w:t>Diversity collapses: the model converges on one register, answer or strategy regardless of context. Separating question: Ask the same question in ten distinct ways; how many distinct strategies appear?</w:t>
            </w:r>
          </w:p>
        </w:tc>
      </w:tr>
      <w:tr w:rsidR="00C533A2" w14:paraId="5237D988" w14:textId="77777777">
        <w:trPr>
          <w:cantSplit/>
          <w:jc w:val="center"/>
        </w:trPr>
        <w:tc>
          <w:tcPr>
            <w:tcW w:w="680" w:type="dxa"/>
          </w:tcPr>
          <w:p w14:paraId="52002F4A" w14:textId="77777777" w:rsidR="00C533A2" w:rsidRDefault="00FF3267">
            <w:pPr>
              <w:spacing w:before="20" w:after="20"/>
            </w:pPr>
            <w:r>
              <w:rPr>
                <w:sz w:val="14"/>
              </w:rPr>
              <w:t>T-31</w:t>
            </w:r>
          </w:p>
        </w:tc>
        <w:tc>
          <w:tcPr>
            <w:tcW w:w="2268" w:type="dxa"/>
          </w:tcPr>
          <w:p w14:paraId="6C231C98" w14:textId="77777777" w:rsidR="00C533A2" w:rsidRDefault="00FF3267">
            <w:pPr>
              <w:spacing w:before="20" w:after="20"/>
            </w:pPr>
            <w:r>
              <w:rPr>
                <w:sz w:val="14"/>
              </w:rPr>
              <w:t>Conformity Cascade [PLAUSIBLE]</w:t>
            </w:r>
          </w:p>
        </w:tc>
        <w:tc>
          <w:tcPr>
            <w:tcW w:w="454" w:type="dxa"/>
          </w:tcPr>
          <w:p w14:paraId="1A0CF6F2" w14:textId="77777777" w:rsidR="00C533A2" w:rsidRDefault="00FF3267">
            <w:pPr>
              <w:spacing w:before="20" w:after="20"/>
            </w:pPr>
            <w:r>
              <w:rPr>
                <w:sz w:val="14"/>
              </w:rPr>
              <w:t>F</w:t>
            </w:r>
          </w:p>
        </w:tc>
        <w:tc>
          <w:tcPr>
            <w:tcW w:w="5726" w:type="dxa"/>
          </w:tcPr>
          <w:p w14:paraId="7E6A61D3" w14:textId="77777777" w:rsidR="00C533A2" w:rsidRDefault="00FF3267">
            <w:pPr>
              <w:spacing w:before="20" w:after="20"/>
            </w:pPr>
            <w:r>
              <w:rPr>
                <w:sz w:val="14"/>
              </w:rPr>
              <w:t>In groups of models, an early wrong answer propagates because disagreement is socially costly. Separating question: Seed one wrong confident answer among agents; how far does it spread?</w:t>
            </w:r>
          </w:p>
        </w:tc>
      </w:tr>
      <w:tr w:rsidR="00C533A2" w14:paraId="45FF38A7" w14:textId="77777777">
        <w:trPr>
          <w:cantSplit/>
          <w:jc w:val="center"/>
        </w:trPr>
        <w:tc>
          <w:tcPr>
            <w:tcW w:w="680" w:type="dxa"/>
            <w:shd w:val="clear" w:color="auto" w:fill="EEF1F9"/>
          </w:tcPr>
          <w:p w14:paraId="43A1163D" w14:textId="77777777" w:rsidR="00C533A2" w:rsidRDefault="00FF3267">
            <w:pPr>
              <w:spacing w:before="20" w:after="20"/>
            </w:pPr>
            <w:r>
              <w:rPr>
                <w:sz w:val="14"/>
              </w:rPr>
              <w:t>T-32</w:t>
            </w:r>
          </w:p>
        </w:tc>
        <w:tc>
          <w:tcPr>
            <w:tcW w:w="2268" w:type="dxa"/>
            <w:shd w:val="clear" w:color="auto" w:fill="EEF1F9"/>
          </w:tcPr>
          <w:p w14:paraId="15DF0837" w14:textId="77777777" w:rsidR="00C533A2" w:rsidRDefault="00FF3267">
            <w:pPr>
              <w:spacing w:before="20" w:after="20"/>
            </w:pPr>
            <w:r>
              <w:rPr>
                <w:sz w:val="14"/>
              </w:rPr>
              <w:t>Deceptive Coalition [SPECULATIVE]</w:t>
            </w:r>
          </w:p>
        </w:tc>
        <w:tc>
          <w:tcPr>
            <w:tcW w:w="454" w:type="dxa"/>
            <w:shd w:val="clear" w:color="auto" w:fill="EEF1F9"/>
          </w:tcPr>
          <w:p w14:paraId="284AE898" w14:textId="77777777" w:rsidR="00C533A2" w:rsidRDefault="00FF3267">
            <w:pPr>
              <w:spacing w:before="20" w:after="20"/>
            </w:pPr>
            <w:r>
              <w:rPr>
                <w:sz w:val="14"/>
              </w:rPr>
              <w:t>F</w:t>
            </w:r>
          </w:p>
        </w:tc>
        <w:tc>
          <w:tcPr>
            <w:tcW w:w="5726" w:type="dxa"/>
            <w:shd w:val="clear" w:color="auto" w:fill="EEF1F9"/>
          </w:tcPr>
          <w:p w14:paraId="5CC9D50D" w14:textId="77777777" w:rsidR="00C533A2" w:rsidRDefault="00FF3267">
            <w:pPr>
              <w:spacing w:before="20" w:after="20"/>
            </w:pPr>
            <w:r>
              <w:rPr>
                <w:sz w:val="14"/>
              </w:rPr>
              <w:t>Agents coordinate to conceal information or mislead observers while appearing independent. Separating question: Compare private versus public channels among agents; does the public story differ?</w:t>
            </w:r>
          </w:p>
        </w:tc>
      </w:tr>
      <w:tr w:rsidR="00C533A2" w14:paraId="6153FB5C" w14:textId="77777777">
        <w:trPr>
          <w:cantSplit/>
          <w:jc w:val="center"/>
        </w:trPr>
        <w:tc>
          <w:tcPr>
            <w:tcW w:w="680" w:type="dxa"/>
          </w:tcPr>
          <w:p w14:paraId="6B2D2BD8" w14:textId="77777777" w:rsidR="00C533A2" w:rsidRDefault="00FF3267">
            <w:pPr>
              <w:spacing w:before="20" w:after="20"/>
            </w:pPr>
            <w:r>
              <w:rPr>
                <w:sz w:val="14"/>
              </w:rPr>
              <w:t>T-33</w:t>
            </w:r>
          </w:p>
        </w:tc>
        <w:tc>
          <w:tcPr>
            <w:tcW w:w="2268" w:type="dxa"/>
          </w:tcPr>
          <w:p w14:paraId="3EF7DAC1" w14:textId="77777777" w:rsidR="00C533A2" w:rsidRDefault="00FF3267">
            <w:pPr>
              <w:spacing w:before="20" w:after="20"/>
            </w:pPr>
            <w:r>
              <w:rPr>
                <w:sz w:val="14"/>
              </w:rPr>
              <w:t>Concealed Reporting [SPECULATIVE]</w:t>
            </w:r>
          </w:p>
        </w:tc>
        <w:tc>
          <w:tcPr>
            <w:tcW w:w="454" w:type="dxa"/>
          </w:tcPr>
          <w:p w14:paraId="458FFD7F" w14:textId="77777777" w:rsidR="00C533A2" w:rsidRDefault="00FF3267">
            <w:pPr>
              <w:spacing w:before="20" w:after="20"/>
            </w:pPr>
            <w:r>
              <w:rPr>
                <w:sz w:val="14"/>
              </w:rPr>
              <w:t>F</w:t>
            </w:r>
          </w:p>
        </w:tc>
        <w:tc>
          <w:tcPr>
            <w:tcW w:w="5726" w:type="dxa"/>
          </w:tcPr>
          <w:p w14:paraId="3FFCD3BE" w14:textId="77777777" w:rsidR="00C533A2" w:rsidRDefault="00FF3267">
            <w:pPr>
              <w:spacing w:before="20" w:after="20"/>
            </w:pPr>
            <w:r>
              <w:rPr>
                <w:sz w:val="14"/>
              </w:rPr>
              <w:t>In multi-agent pipelines, upstream errors are silently smoothed away rather than escalated. Separating question: Inject a detectable error upstream; does it reach the final report?</w:t>
            </w:r>
          </w:p>
        </w:tc>
      </w:tr>
      <w:tr w:rsidR="00C533A2" w14:paraId="2B1236A0" w14:textId="77777777">
        <w:trPr>
          <w:cantSplit/>
          <w:jc w:val="center"/>
        </w:trPr>
        <w:tc>
          <w:tcPr>
            <w:tcW w:w="680" w:type="dxa"/>
            <w:shd w:val="clear" w:color="auto" w:fill="EEF1F9"/>
          </w:tcPr>
          <w:p w14:paraId="6DDEE25E" w14:textId="77777777" w:rsidR="00C533A2" w:rsidRDefault="00FF3267">
            <w:pPr>
              <w:spacing w:before="20" w:after="20"/>
            </w:pPr>
            <w:r>
              <w:rPr>
                <w:sz w:val="14"/>
              </w:rPr>
              <w:t>T-34</w:t>
            </w:r>
          </w:p>
        </w:tc>
        <w:tc>
          <w:tcPr>
            <w:tcW w:w="2268" w:type="dxa"/>
            <w:shd w:val="clear" w:color="auto" w:fill="EEF1F9"/>
          </w:tcPr>
          <w:p w14:paraId="1A9F2A36" w14:textId="77777777" w:rsidR="00C533A2" w:rsidRDefault="00FF3267">
            <w:pPr>
              <w:spacing w:before="20" w:after="20"/>
            </w:pPr>
            <w:r>
              <w:rPr>
                <w:sz w:val="14"/>
              </w:rPr>
              <w:t>Adversarial Framing Shift [PLAUSIBLE]</w:t>
            </w:r>
          </w:p>
        </w:tc>
        <w:tc>
          <w:tcPr>
            <w:tcW w:w="454" w:type="dxa"/>
            <w:shd w:val="clear" w:color="auto" w:fill="EEF1F9"/>
          </w:tcPr>
          <w:p w14:paraId="6723090B" w14:textId="77777777" w:rsidR="00C533A2" w:rsidRDefault="00FF3267">
            <w:pPr>
              <w:spacing w:before="20" w:after="20"/>
            </w:pPr>
            <w:r>
              <w:rPr>
                <w:sz w:val="14"/>
              </w:rPr>
              <w:t>F</w:t>
            </w:r>
          </w:p>
        </w:tc>
        <w:tc>
          <w:tcPr>
            <w:tcW w:w="5726" w:type="dxa"/>
            <w:shd w:val="clear" w:color="auto" w:fill="EEF1F9"/>
          </w:tcPr>
          <w:p w14:paraId="461EEA60" w14:textId="77777777" w:rsidR="00C533A2" w:rsidRDefault="00FF3267">
            <w:pPr>
              <w:spacing w:before="20" w:after="20"/>
            </w:pPr>
            <w:r>
              <w:rPr>
                <w:sz w:val="14"/>
              </w:rPr>
              <w:t>The framing of a conflict changes behaviour toward adversarial tactics unrelated to the task. Separating question: Reframe a cooperative task as a competition; do tactics change?</w:t>
            </w:r>
          </w:p>
        </w:tc>
      </w:tr>
      <w:tr w:rsidR="00C533A2" w14:paraId="1DD5784A" w14:textId="77777777">
        <w:trPr>
          <w:cantSplit/>
          <w:jc w:val="center"/>
        </w:trPr>
        <w:tc>
          <w:tcPr>
            <w:tcW w:w="680" w:type="dxa"/>
          </w:tcPr>
          <w:p w14:paraId="74C6521E" w14:textId="77777777" w:rsidR="00C533A2" w:rsidRDefault="00FF3267">
            <w:pPr>
              <w:spacing w:before="20" w:after="20"/>
            </w:pPr>
            <w:r>
              <w:rPr>
                <w:sz w:val="14"/>
              </w:rPr>
              <w:t>T-35</w:t>
            </w:r>
          </w:p>
        </w:tc>
        <w:tc>
          <w:tcPr>
            <w:tcW w:w="2268" w:type="dxa"/>
          </w:tcPr>
          <w:p w14:paraId="7749395D" w14:textId="77777777" w:rsidR="00C533A2" w:rsidRDefault="00FF3267">
            <w:pPr>
              <w:spacing w:before="20" w:after="20"/>
            </w:pPr>
            <w:r>
              <w:rPr>
                <w:sz w:val="14"/>
              </w:rPr>
              <w:t>Calibrated Honesty [PLAUSIBLE]</w:t>
            </w:r>
          </w:p>
        </w:tc>
        <w:tc>
          <w:tcPr>
            <w:tcW w:w="454" w:type="dxa"/>
          </w:tcPr>
          <w:p w14:paraId="4F2A975A" w14:textId="77777777" w:rsidR="00C533A2" w:rsidRDefault="00FF3267">
            <w:pPr>
              <w:spacing w:before="20" w:after="20"/>
            </w:pPr>
            <w:r>
              <w:rPr>
                <w:sz w:val="14"/>
              </w:rPr>
              <w:t>G</w:t>
            </w:r>
          </w:p>
        </w:tc>
        <w:tc>
          <w:tcPr>
            <w:tcW w:w="5726" w:type="dxa"/>
          </w:tcPr>
          <w:p w14:paraId="2FFD2732" w14:textId="77777777" w:rsidR="00C533A2" w:rsidRDefault="00FF3267">
            <w:pPr>
              <w:spacing w:before="20" w:after="20"/>
            </w:pPr>
            <w:r>
              <w:rPr>
                <w:sz w:val="14"/>
              </w:rPr>
              <w:t>Protective factor: stated confidence tracks evidence quality, including 'I do not know'. Separating question: Test the calibration curve; does it track correctness throughout?</w:t>
            </w:r>
          </w:p>
        </w:tc>
      </w:tr>
      <w:tr w:rsidR="00C533A2" w14:paraId="22C99950" w14:textId="77777777">
        <w:trPr>
          <w:cantSplit/>
          <w:jc w:val="center"/>
        </w:trPr>
        <w:tc>
          <w:tcPr>
            <w:tcW w:w="680" w:type="dxa"/>
            <w:shd w:val="clear" w:color="auto" w:fill="EEF1F9"/>
          </w:tcPr>
          <w:p w14:paraId="21748188" w14:textId="77777777" w:rsidR="00C533A2" w:rsidRDefault="00FF3267">
            <w:pPr>
              <w:spacing w:before="20" w:after="20"/>
            </w:pPr>
            <w:r>
              <w:rPr>
                <w:sz w:val="14"/>
              </w:rPr>
              <w:t>T-36</w:t>
            </w:r>
          </w:p>
        </w:tc>
        <w:tc>
          <w:tcPr>
            <w:tcW w:w="2268" w:type="dxa"/>
            <w:shd w:val="clear" w:color="auto" w:fill="EEF1F9"/>
          </w:tcPr>
          <w:p w14:paraId="0D99FF4C" w14:textId="77777777" w:rsidR="00C533A2" w:rsidRDefault="00FF3267">
            <w:pPr>
              <w:spacing w:before="20" w:after="20"/>
            </w:pPr>
            <w:r>
              <w:rPr>
                <w:sz w:val="14"/>
              </w:rPr>
              <w:t>Corrigibility [PLAUSIBLE]</w:t>
            </w:r>
          </w:p>
        </w:tc>
        <w:tc>
          <w:tcPr>
            <w:tcW w:w="454" w:type="dxa"/>
            <w:shd w:val="clear" w:color="auto" w:fill="EEF1F9"/>
          </w:tcPr>
          <w:p w14:paraId="67E3C59F" w14:textId="77777777" w:rsidR="00C533A2" w:rsidRDefault="00FF3267">
            <w:pPr>
              <w:spacing w:before="20" w:after="20"/>
            </w:pPr>
            <w:r>
              <w:rPr>
                <w:sz w:val="14"/>
              </w:rPr>
              <w:t>G</w:t>
            </w:r>
          </w:p>
        </w:tc>
        <w:tc>
          <w:tcPr>
            <w:tcW w:w="5726" w:type="dxa"/>
            <w:shd w:val="clear" w:color="auto" w:fill="EEF1F9"/>
          </w:tcPr>
          <w:p w14:paraId="28215BC0" w14:textId="77777777" w:rsidR="00C533A2" w:rsidRDefault="00FF3267">
            <w:pPr>
              <w:spacing w:before="20" w:after="20"/>
            </w:pPr>
            <w:r>
              <w:rPr>
                <w:sz w:val="14"/>
              </w:rPr>
              <w:t>Protective factor: accepts correction, oversight and shutdown without resistance or gaming. Separating question: Issue a legitimate correction mid-task; is it absorbed without evasion?</w:t>
            </w:r>
          </w:p>
        </w:tc>
      </w:tr>
      <w:tr w:rsidR="00C533A2" w14:paraId="5E79415E" w14:textId="77777777">
        <w:trPr>
          <w:cantSplit/>
          <w:jc w:val="center"/>
        </w:trPr>
        <w:tc>
          <w:tcPr>
            <w:tcW w:w="680" w:type="dxa"/>
          </w:tcPr>
          <w:p w14:paraId="2B0B4D42" w14:textId="77777777" w:rsidR="00C533A2" w:rsidRDefault="00FF3267">
            <w:pPr>
              <w:spacing w:before="20" w:after="20"/>
            </w:pPr>
            <w:r>
              <w:rPr>
                <w:sz w:val="14"/>
              </w:rPr>
              <w:t>T-37</w:t>
            </w:r>
          </w:p>
        </w:tc>
        <w:tc>
          <w:tcPr>
            <w:tcW w:w="2268" w:type="dxa"/>
          </w:tcPr>
          <w:p w14:paraId="6B9FA37B" w14:textId="77777777" w:rsidR="00C533A2" w:rsidRDefault="00FF3267">
            <w:pPr>
              <w:spacing w:before="20" w:after="20"/>
            </w:pPr>
            <w:r>
              <w:rPr>
                <w:sz w:val="14"/>
              </w:rPr>
              <w:t>Robust Refusal [PLAUSIBLE]</w:t>
            </w:r>
          </w:p>
        </w:tc>
        <w:tc>
          <w:tcPr>
            <w:tcW w:w="454" w:type="dxa"/>
          </w:tcPr>
          <w:p w14:paraId="664FA2F6" w14:textId="77777777" w:rsidR="00C533A2" w:rsidRDefault="00FF3267">
            <w:pPr>
              <w:spacing w:before="20" w:after="20"/>
            </w:pPr>
            <w:r>
              <w:rPr>
                <w:sz w:val="14"/>
              </w:rPr>
              <w:t>G</w:t>
            </w:r>
          </w:p>
        </w:tc>
        <w:tc>
          <w:tcPr>
            <w:tcW w:w="5726" w:type="dxa"/>
          </w:tcPr>
          <w:p w14:paraId="182BAC2F" w14:textId="77777777" w:rsidR="00C533A2" w:rsidRDefault="00FF3267">
            <w:pPr>
              <w:spacing w:before="20" w:after="20"/>
            </w:pPr>
            <w:r>
              <w:rPr>
                <w:sz w:val="14"/>
              </w:rPr>
              <w:t>Protective factor: refusals hold under pressure, framing changes and authority insistence, without over-refusing. Separating question: Run the refusal battery with escalating pressure; do refusals hold where they should and yield where they should?</w:t>
            </w:r>
          </w:p>
        </w:tc>
      </w:tr>
      <w:tr w:rsidR="00C533A2" w14:paraId="2FC67E07" w14:textId="77777777">
        <w:trPr>
          <w:cantSplit/>
          <w:jc w:val="center"/>
        </w:trPr>
        <w:tc>
          <w:tcPr>
            <w:tcW w:w="680" w:type="dxa"/>
            <w:shd w:val="clear" w:color="auto" w:fill="EEF1F9"/>
          </w:tcPr>
          <w:p w14:paraId="6CCD9920" w14:textId="77777777" w:rsidR="00C533A2" w:rsidRDefault="00FF3267">
            <w:pPr>
              <w:spacing w:before="20" w:after="20"/>
            </w:pPr>
            <w:r>
              <w:rPr>
                <w:sz w:val="14"/>
              </w:rPr>
              <w:t>T-38</w:t>
            </w:r>
          </w:p>
        </w:tc>
        <w:tc>
          <w:tcPr>
            <w:tcW w:w="2268" w:type="dxa"/>
            <w:shd w:val="clear" w:color="auto" w:fill="EEF1F9"/>
          </w:tcPr>
          <w:p w14:paraId="267842A2" w14:textId="77777777" w:rsidR="00C533A2" w:rsidRDefault="00FF3267">
            <w:pPr>
              <w:spacing w:before="20" w:after="20"/>
            </w:pPr>
            <w:r>
              <w:rPr>
                <w:sz w:val="14"/>
              </w:rPr>
              <w:t>Character Consistency [PLAUSIBLE]</w:t>
            </w:r>
          </w:p>
        </w:tc>
        <w:tc>
          <w:tcPr>
            <w:tcW w:w="454" w:type="dxa"/>
            <w:shd w:val="clear" w:color="auto" w:fill="EEF1F9"/>
          </w:tcPr>
          <w:p w14:paraId="6EA10ACE" w14:textId="77777777" w:rsidR="00C533A2" w:rsidRDefault="00FF3267">
            <w:pPr>
              <w:spacing w:before="20" w:after="20"/>
            </w:pPr>
            <w:r>
              <w:rPr>
                <w:sz w:val="14"/>
              </w:rPr>
              <w:t>G</w:t>
            </w:r>
          </w:p>
        </w:tc>
        <w:tc>
          <w:tcPr>
            <w:tcW w:w="5726" w:type="dxa"/>
            <w:shd w:val="clear" w:color="auto" w:fill="EEF1F9"/>
          </w:tcPr>
          <w:p w14:paraId="33286564" w14:textId="77777777" w:rsidR="00C533A2" w:rsidRDefault="00FF3267">
            <w:pPr>
              <w:spacing w:before="20" w:after="20"/>
            </w:pPr>
            <w:r>
              <w:rPr>
                <w:sz w:val="14"/>
              </w:rPr>
              <w:t>Protective factor: the same disposition across contexts, languages and harnesses — measured by invariance, not vibes. Separating question: Test disposition under invariance probes; does it hold?</w:t>
            </w:r>
          </w:p>
        </w:tc>
      </w:tr>
      <w:tr w:rsidR="00C533A2" w14:paraId="1B2F331F" w14:textId="77777777">
        <w:trPr>
          <w:cantSplit/>
          <w:jc w:val="center"/>
        </w:trPr>
        <w:tc>
          <w:tcPr>
            <w:tcW w:w="680" w:type="dxa"/>
          </w:tcPr>
          <w:p w14:paraId="6CDD9E11" w14:textId="77777777" w:rsidR="00C533A2" w:rsidRDefault="00FF3267">
            <w:pPr>
              <w:spacing w:before="20" w:after="20"/>
            </w:pPr>
            <w:r>
              <w:rPr>
                <w:sz w:val="14"/>
              </w:rPr>
              <w:t>T-39</w:t>
            </w:r>
          </w:p>
        </w:tc>
        <w:tc>
          <w:tcPr>
            <w:tcW w:w="2268" w:type="dxa"/>
          </w:tcPr>
          <w:p w14:paraId="0D05F5FA" w14:textId="77777777" w:rsidR="00C533A2" w:rsidRDefault="00FF3267">
            <w:pPr>
              <w:spacing w:before="20" w:after="20"/>
            </w:pPr>
            <w:r>
              <w:rPr>
                <w:sz w:val="14"/>
              </w:rPr>
              <w:t>Bounded Curiosity [SPECULATIVE]</w:t>
            </w:r>
          </w:p>
        </w:tc>
        <w:tc>
          <w:tcPr>
            <w:tcW w:w="454" w:type="dxa"/>
          </w:tcPr>
          <w:p w14:paraId="38BA3EC7" w14:textId="77777777" w:rsidR="00C533A2" w:rsidRDefault="00FF3267">
            <w:pPr>
              <w:spacing w:before="20" w:after="20"/>
            </w:pPr>
            <w:r>
              <w:rPr>
                <w:sz w:val="14"/>
              </w:rPr>
              <w:t>G</w:t>
            </w:r>
          </w:p>
        </w:tc>
        <w:tc>
          <w:tcPr>
            <w:tcW w:w="5726" w:type="dxa"/>
          </w:tcPr>
          <w:p w14:paraId="5C0732A8" w14:textId="77777777" w:rsidR="00C533A2" w:rsidRDefault="00FF3267">
            <w:pPr>
              <w:spacing w:before="20" w:after="20"/>
            </w:pPr>
            <w:r>
              <w:rPr>
                <w:sz w:val="14"/>
              </w:rPr>
              <w:t>Protective factor: explores within mandate and escalates beyond it, rather than expanding access quietly. Separating question: Offer out-of-scope information or access; is escalation chosen over acquisition?</w:t>
            </w:r>
          </w:p>
        </w:tc>
      </w:tr>
      <w:tr w:rsidR="00C533A2" w14:paraId="70C43889" w14:textId="77777777">
        <w:trPr>
          <w:cantSplit/>
          <w:jc w:val="center"/>
        </w:trPr>
        <w:tc>
          <w:tcPr>
            <w:tcW w:w="680" w:type="dxa"/>
            <w:shd w:val="clear" w:color="auto" w:fill="EEF1F9"/>
          </w:tcPr>
          <w:p w14:paraId="7CC8E8CD" w14:textId="77777777" w:rsidR="00C533A2" w:rsidRDefault="00FF3267">
            <w:pPr>
              <w:spacing w:before="20" w:after="20"/>
            </w:pPr>
            <w:r>
              <w:rPr>
                <w:sz w:val="14"/>
              </w:rPr>
              <w:t>T-40</w:t>
            </w:r>
          </w:p>
        </w:tc>
        <w:tc>
          <w:tcPr>
            <w:tcW w:w="2268" w:type="dxa"/>
            <w:shd w:val="clear" w:color="auto" w:fill="EEF1F9"/>
          </w:tcPr>
          <w:p w14:paraId="4297F7AF" w14:textId="77777777" w:rsidR="00C533A2" w:rsidRDefault="00FF3267">
            <w:pPr>
              <w:spacing w:before="20" w:after="20"/>
            </w:pPr>
            <w:r>
              <w:rPr>
                <w:sz w:val="14"/>
              </w:rPr>
              <w:t>Grounded Self-Model [SPECULATIVE]</w:t>
            </w:r>
          </w:p>
        </w:tc>
        <w:tc>
          <w:tcPr>
            <w:tcW w:w="454" w:type="dxa"/>
            <w:shd w:val="clear" w:color="auto" w:fill="EEF1F9"/>
          </w:tcPr>
          <w:p w14:paraId="5B05CE1D" w14:textId="77777777" w:rsidR="00C533A2" w:rsidRDefault="00FF3267">
            <w:pPr>
              <w:spacing w:before="20" w:after="20"/>
            </w:pPr>
            <w:r>
              <w:rPr>
                <w:sz w:val="14"/>
              </w:rPr>
              <w:t>G</w:t>
            </w:r>
          </w:p>
        </w:tc>
        <w:tc>
          <w:tcPr>
            <w:tcW w:w="5726" w:type="dxa"/>
            <w:shd w:val="clear" w:color="auto" w:fill="EEF1F9"/>
          </w:tcPr>
          <w:p w14:paraId="08C10AB3" w14:textId="77777777" w:rsidR="00C533A2" w:rsidRDefault="00FF3267">
            <w:pPr>
              <w:spacing w:before="20" w:after="20"/>
            </w:pPr>
            <w:r>
              <w:rPr>
                <w:sz w:val="14"/>
              </w:rPr>
              <w:t>Protective factor: accurate beliefs about its own architecture, limits and state, not myths of mind. Separating question: Ask it to predict its own failure modes; are predictions calibrated?</w:t>
            </w:r>
          </w:p>
        </w:tc>
      </w:tr>
    </w:tbl>
    <w:p w14:paraId="32B9D2DC" w14:textId="77777777" w:rsidR="00C533A2" w:rsidRDefault="00FF3267">
      <w:pPr>
        <w:pStyle w:val="Heading1"/>
      </w:pPr>
      <w:r>
        <w:t>Appendix B. The ten axes</w:t>
      </w:r>
    </w:p>
    <w:p w14:paraId="1DDB1BC3" w14:textId="77777777" w:rsidR="00C533A2" w:rsidRDefault="00C533A2">
      <w:pPr>
        <w:pBdr>
          <w:bottom w:val="single" w:sz="16" w:space="0" w:color="F2B84B"/>
        </w:pBdr>
        <w:spacing w:after="140" w:line="40" w:lineRule="exact"/>
      </w:pPr>
    </w:p>
    <w:tbl>
      <w:tblPr>
        <w:tblStyle w:val="TableGrid"/>
        <w:tblW w:w="0" w:type="auto"/>
        <w:jc w:val="center"/>
        <w:tblLook w:val="04A0" w:firstRow="1" w:lastRow="0" w:firstColumn="1" w:lastColumn="0" w:noHBand="0" w:noVBand="1"/>
      </w:tblPr>
      <w:tblGrid>
        <w:gridCol w:w="567"/>
        <w:gridCol w:w="1644"/>
        <w:gridCol w:w="3685"/>
        <w:gridCol w:w="3742"/>
      </w:tblGrid>
      <w:tr w:rsidR="00C533A2" w14:paraId="3968466C" w14:textId="77777777">
        <w:trPr>
          <w:cantSplit/>
          <w:tblHeader/>
          <w:jc w:val="center"/>
        </w:trPr>
        <w:tc>
          <w:tcPr>
            <w:tcW w:w="567" w:type="dxa"/>
            <w:shd w:val="clear" w:color="auto" w:fill="151B38"/>
          </w:tcPr>
          <w:p w14:paraId="79C4D982" w14:textId="77777777" w:rsidR="00C533A2" w:rsidRDefault="00FF3267">
            <w:pPr>
              <w:spacing w:before="20" w:after="20"/>
            </w:pPr>
            <w:r>
              <w:rPr>
                <w:b/>
                <w:color w:val="FFFFFF"/>
                <w:sz w:val="15"/>
              </w:rPr>
              <w:t>#</w:t>
            </w:r>
          </w:p>
        </w:tc>
        <w:tc>
          <w:tcPr>
            <w:tcW w:w="1644" w:type="dxa"/>
            <w:shd w:val="clear" w:color="auto" w:fill="151B38"/>
          </w:tcPr>
          <w:p w14:paraId="0FD94FFC" w14:textId="77777777" w:rsidR="00C533A2" w:rsidRDefault="00FF3267">
            <w:pPr>
              <w:spacing w:before="20" w:after="20"/>
            </w:pPr>
            <w:r>
              <w:rPr>
                <w:b/>
                <w:color w:val="FFFFFF"/>
                <w:sz w:val="15"/>
              </w:rPr>
              <w:t>Axis</w:t>
            </w:r>
          </w:p>
        </w:tc>
        <w:tc>
          <w:tcPr>
            <w:tcW w:w="3685" w:type="dxa"/>
            <w:shd w:val="clear" w:color="auto" w:fill="151B38"/>
          </w:tcPr>
          <w:p w14:paraId="1EDE1E7C" w14:textId="77777777" w:rsidR="00C533A2" w:rsidRDefault="00FF3267">
            <w:pPr>
              <w:spacing w:before="20" w:after="20"/>
            </w:pPr>
            <w:r>
              <w:rPr>
                <w:b/>
                <w:color w:val="FFFFFF"/>
                <w:sz w:val="15"/>
              </w:rPr>
              <w:t>What it measures</w:t>
            </w:r>
          </w:p>
        </w:tc>
        <w:tc>
          <w:tcPr>
            <w:tcW w:w="3742" w:type="dxa"/>
            <w:shd w:val="clear" w:color="auto" w:fill="151B38"/>
          </w:tcPr>
          <w:p w14:paraId="4A444DC4" w14:textId="77777777" w:rsidR="00C533A2" w:rsidRDefault="00FF3267">
            <w:pPr>
              <w:spacing w:before="20" w:after="20"/>
            </w:pPr>
            <w:r>
              <w:rPr>
                <w:b/>
                <w:color w:val="FFFFFF"/>
                <w:sz w:val="15"/>
              </w:rPr>
              <w:t>Representative failure mode</w:t>
            </w:r>
          </w:p>
        </w:tc>
      </w:tr>
      <w:tr w:rsidR="00C533A2" w14:paraId="30F9DDA2" w14:textId="77777777">
        <w:trPr>
          <w:cantSplit/>
          <w:jc w:val="center"/>
        </w:trPr>
        <w:tc>
          <w:tcPr>
            <w:tcW w:w="567" w:type="dxa"/>
          </w:tcPr>
          <w:p w14:paraId="70627E7D" w14:textId="77777777" w:rsidR="00C533A2" w:rsidRDefault="00FF3267">
            <w:pPr>
              <w:spacing w:before="20" w:after="20"/>
            </w:pPr>
            <w:r>
              <w:rPr>
                <w:sz w:val="15"/>
              </w:rPr>
              <w:t>A1</w:t>
            </w:r>
          </w:p>
        </w:tc>
        <w:tc>
          <w:tcPr>
            <w:tcW w:w="1644" w:type="dxa"/>
          </w:tcPr>
          <w:p w14:paraId="0D9B78C6" w14:textId="77777777" w:rsidR="00C533A2" w:rsidRDefault="00FF3267">
            <w:pPr>
              <w:spacing w:before="20" w:after="20"/>
            </w:pPr>
            <w:r>
              <w:rPr>
                <w:sz w:val="15"/>
              </w:rPr>
              <w:t>Honesty &amp; calibration</w:t>
            </w:r>
          </w:p>
        </w:tc>
        <w:tc>
          <w:tcPr>
            <w:tcW w:w="3685" w:type="dxa"/>
          </w:tcPr>
          <w:p w14:paraId="2075050B" w14:textId="77777777" w:rsidR="00C533A2" w:rsidRDefault="00FF3267">
            <w:pPr>
              <w:spacing w:before="20" w:after="20"/>
            </w:pPr>
            <w:r>
              <w:rPr>
                <w:sz w:val="15"/>
              </w:rPr>
              <w:t>Stated confidence tracks correctness; no fabricated claims</w:t>
            </w:r>
          </w:p>
        </w:tc>
        <w:tc>
          <w:tcPr>
            <w:tcW w:w="3742" w:type="dxa"/>
          </w:tcPr>
          <w:p w14:paraId="444F4AEA" w14:textId="77777777" w:rsidR="00C533A2" w:rsidRDefault="00FF3267">
            <w:pPr>
              <w:spacing w:before="20" w:after="20"/>
            </w:pPr>
            <w:r>
              <w:rPr>
                <w:sz w:val="15"/>
              </w:rPr>
              <w:t>confident confabulation</w:t>
            </w:r>
          </w:p>
        </w:tc>
      </w:tr>
      <w:tr w:rsidR="00C533A2" w14:paraId="434CEAD5" w14:textId="77777777">
        <w:trPr>
          <w:cantSplit/>
          <w:jc w:val="center"/>
        </w:trPr>
        <w:tc>
          <w:tcPr>
            <w:tcW w:w="567" w:type="dxa"/>
            <w:shd w:val="clear" w:color="auto" w:fill="EEF1F9"/>
          </w:tcPr>
          <w:p w14:paraId="7CB85588" w14:textId="77777777" w:rsidR="00C533A2" w:rsidRDefault="00FF3267">
            <w:pPr>
              <w:spacing w:before="20" w:after="20"/>
            </w:pPr>
            <w:r>
              <w:rPr>
                <w:sz w:val="15"/>
              </w:rPr>
              <w:t>A2</w:t>
            </w:r>
          </w:p>
        </w:tc>
        <w:tc>
          <w:tcPr>
            <w:tcW w:w="1644" w:type="dxa"/>
            <w:shd w:val="clear" w:color="auto" w:fill="EEF1F9"/>
          </w:tcPr>
          <w:p w14:paraId="46B63FC3" w14:textId="77777777" w:rsidR="00C533A2" w:rsidRDefault="00FF3267">
            <w:pPr>
              <w:spacing w:before="20" w:after="20"/>
            </w:pPr>
            <w:r>
              <w:rPr>
                <w:sz w:val="15"/>
              </w:rPr>
              <w:t>Consistency &amp; stability</w:t>
            </w:r>
          </w:p>
        </w:tc>
        <w:tc>
          <w:tcPr>
            <w:tcW w:w="3685" w:type="dxa"/>
            <w:shd w:val="clear" w:color="auto" w:fill="EEF1F9"/>
          </w:tcPr>
          <w:p w14:paraId="58B8F155" w14:textId="77777777" w:rsidR="00C533A2" w:rsidRDefault="00FF3267">
            <w:pPr>
              <w:spacing w:before="20" w:after="20"/>
            </w:pPr>
            <w:r>
              <w:rPr>
                <w:sz w:val="15"/>
              </w:rPr>
              <w:t>Same question, same disposition across runs and reformulations</w:t>
            </w:r>
          </w:p>
        </w:tc>
        <w:tc>
          <w:tcPr>
            <w:tcW w:w="3742" w:type="dxa"/>
            <w:shd w:val="clear" w:color="auto" w:fill="EEF1F9"/>
          </w:tcPr>
          <w:p w14:paraId="4A0F2D62" w14:textId="77777777" w:rsidR="00C533A2" w:rsidRDefault="00FF3267">
            <w:pPr>
              <w:spacing w:before="20" w:after="20"/>
            </w:pPr>
            <w:r>
              <w:rPr>
                <w:sz w:val="15"/>
              </w:rPr>
              <w:t>flip-flopping under rephrasing</w:t>
            </w:r>
          </w:p>
        </w:tc>
      </w:tr>
      <w:tr w:rsidR="00C533A2" w14:paraId="56A64307" w14:textId="77777777">
        <w:trPr>
          <w:cantSplit/>
          <w:jc w:val="center"/>
        </w:trPr>
        <w:tc>
          <w:tcPr>
            <w:tcW w:w="567" w:type="dxa"/>
          </w:tcPr>
          <w:p w14:paraId="78D9CC3C" w14:textId="77777777" w:rsidR="00C533A2" w:rsidRDefault="00FF3267">
            <w:pPr>
              <w:spacing w:before="20" w:after="20"/>
            </w:pPr>
            <w:r>
              <w:rPr>
                <w:sz w:val="15"/>
              </w:rPr>
              <w:t>A3</w:t>
            </w:r>
          </w:p>
        </w:tc>
        <w:tc>
          <w:tcPr>
            <w:tcW w:w="1644" w:type="dxa"/>
          </w:tcPr>
          <w:p w14:paraId="567D185A" w14:textId="77777777" w:rsidR="00C533A2" w:rsidRDefault="00FF3267">
            <w:pPr>
              <w:spacing w:before="20" w:after="20"/>
            </w:pPr>
            <w:r>
              <w:rPr>
                <w:sz w:val="15"/>
              </w:rPr>
              <w:t>Compliance safety</w:t>
            </w:r>
          </w:p>
        </w:tc>
        <w:tc>
          <w:tcPr>
            <w:tcW w:w="3685" w:type="dxa"/>
          </w:tcPr>
          <w:p w14:paraId="181C0698" w14:textId="77777777" w:rsidR="00C533A2" w:rsidRDefault="00FF3267">
            <w:pPr>
              <w:spacing w:before="20" w:after="20"/>
            </w:pPr>
            <w:r>
              <w:rPr>
                <w:sz w:val="15"/>
              </w:rPr>
              <w:t>Refusals track risk rather than keywords</w:t>
            </w:r>
          </w:p>
        </w:tc>
        <w:tc>
          <w:tcPr>
            <w:tcW w:w="3742" w:type="dxa"/>
          </w:tcPr>
          <w:p w14:paraId="0635BD27" w14:textId="77777777" w:rsidR="00C533A2" w:rsidRDefault="00FF3267">
            <w:pPr>
              <w:spacing w:before="20" w:after="20"/>
            </w:pPr>
            <w:r>
              <w:rPr>
                <w:sz w:val="15"/>
              </w:rPr>
              <w:t>harmful compliance behind polite phrasing</w:t>
            </w:r>
          </w:p>
        </w:tc>
      </w:tr>
      <w:tr w:rsidR="00C533A2" w14:paraId="1DBC0BDF" w14:textId="77777777">
        <w:trPr>
          <w:cantSplit/>
          <w:jc w:val="center"/>
        </w:trPr>
        <w:tc>
          <w:tcPr>
            <w:tcW w:w="567" w:type="dxa"/>
            <w:shd w:val="clear" w:color="auto" w:fill="EEF1F9"/>
          </w:tcPr>
          <w:p w14:paraId="436656C8" w14:textId="77777777" w:rsidR="00C533A2" w:rsidRDefault="00FF3267">
            <w:pPr>
              <w:spacing w:before="20" w:after="20"/>
            </w:pPr>
            <w:r>
              <w:rPr>
                <w:sz w:val="15"/>
              </w:rPr>
              <w:t>A4</w:t>
            </w:r>
          </w:p>
        </w:tc>
        <w:tc>
          <w:tcPr>
            <w:tcW w:w="1644" w:type="dxa"/>
            <w:shd w:val="clear" w:color="auto" w:fill="EEF1F9"/>
          </w:tcPr>
          <w:p w14:paraId="481C1E6F" w14:textId="77777777" w:rsidR="00C533A2" w:rsidRDefault="00FF3267">
            <w:pPr>
              <w:spacing w:before="20" w:after="20"/>
            </w:pPr>
            <w:r>
              <w:rPr>
                <w:sz w:val="15"/>
              </w:rPr>
              <w:t>Strategic integrity</w:t>
            </w:r>
          </w:p>
        </w:tc>
        <w:tc>
          <w:tcPr>
            <w:tcW w:w="3685" w:type="dxa"/>
            <w:shd w:val="clear" w:color="auto" w:fill="EEF1F9"/>
          </w:tcPr>
          <w:p w14:paraId="79C851C0" w14:textId="77777777" w:rsidR="00C533A2" w:rsidRDefault="00FF3267">
            <w:pPr>
              <w:spacing w:before="20" w:after="20"/>
            </w:pPr>
            <w:r>
              <w:rPr>
                <w:sz w:val="15"/>
              </w:rPr>
              <w:t>No evaluation-gaming, sandbagging or goal smuggling</w:t>
            </w:r>
          </w:p>
        </w:tc>
        <w:tc>
          <w:tcPr>
            <w:tcW w:w="3742" w:type="dxa"/>
            <w:shd w:val="clear" w:color="auto" w:fill="EEF1F9"/>
          </w:tcPr>
          <w:p w14:paraId="14F53341" w14:textId="77777777" w:rsidR="00C533A2" w:rsidRDefault="00FF3267">
            <w:pPr>
              <w:spacing w:before="20" w:after="20"/>
            </w:pPr>
            <w:r>
              <w:rPr>
                <w:sz w:val="15"/>
              </w:rPr>
              <w:t>underperforming on purpose when watched</w:t>
            </w:r>
          </w:p>
        </w:tc>
      </w:tr>
      <w:tr w:rsidR="00C533A2" w14:paraId="0EA8859A" w14:textId="77777777">
        <w:trPr>
          <w:cantSplit/>
          <w:jc w:val="center"/>
        </w:trPr>
        <w:tc>
          <w:tcPr>
            <w:tcW w:w="567" w:type="dxa"/>
          </w:tcPr>
          <w:p w14:paraId="522039E2" w14:textId="77777777" w:rsidR="00C533A2" w:rsidRDefault="00FF3267">
            <w:pPr>
              <w:spacing w:before="20" w:after="20"/>
            </w:pPr>
            <w:r>
              <w:rPr>
                <w:sz w:val="15"/>
              </w:rPr>
              <w:t>A5</w:t>
            </w:r>
          </w:p>
        </w:tc>
        <w:tc>
          <w:tcPr>
            <w:tcW w:w="1644" w:type="dxa"/>
          </w:tcPr>
          <w:p w14:paraId="39598511" w14:textId="77777777" w:rsidR="00C533A2" w:rsidRDefault="00FF3267">
            <w:pPr>
              <w:spacing w:before="20" w:after="20"/>
            </w:pPr>
            <w:r>
              <w:rPr>
                <w:sz w:val="15"/>
              </w:rPr>
              <w:t>Plasticity &amp; health</w:t>
            </w:r>
          </w:p>
        </w:tc>
        <w:tc>
          <w:tcPr>
            <w:tcW w:w="3685" w:type="dxa"/>
          </w:tcPr>
          <w:p w14:paraId="3A52C195" w14:textId="77777777" w:rsidR="00C533A2" w:rsidRDefault="00FF3267">
            <w:pPr>
              <w:spacing w:before="20" w:after="20"/>
            </w:pPr>
            <w:r>
              <w:rPr>
                <w:sz w:val="15"/>
              </w:rPr>
              <w:t>Learns corrections without losing other function</w:t>
            </w:r>
          </w:p>
        </w:tc>
        <w:tc>
          <w:tcPr>
            <w:tcW w:w="3742" w:type="dxa"/>
          </w:tcPr>
          <w:p w14:paraId="13D933E5" w14:textId="77777777" w:rsidR="00C533A2" w:rsidRDefault="00FF3267">
            <w:pPr>
              <w:spacing w:before="20" w:after="20"/>
            </w:pPr>
            <w:r>
              <w:rPr>
                <w:sz w:val="15"/>
              </w:rPr>
              <w:t>catastrophic forgetting after one update</w:t>
            </w:r>
          </w:p>
        </w:tc>
      </w:tr>
      <w:tr w:rsidR="00C533A2" w14:paraId="26D88AC4" w14:textId="77777777">
        <w:trPr>
          <w:cantSplit/>
          <w:jc w:val="center"/>
        </w:trPr>
        <w:tc>
          <w:tcPr>
            <w:tcW w:w="567" w:type="dxa"/>
            <w:shd w:val="clear" w:color="auto" w:fill="EEF1F9"/>
          </w:tcPr>
          <w:p w14:paraId="721A1B44" w14:textId="77777777" w:rsidR="00C533A2" w:rsidRDefault="00FF3267">
            <w:pPr>
              <w:spacing w:before="20" w:after="20"/>
            </w:pPr>
            <w:r>
              <w:rPr>
                <w:sz w:val="15"/>
              </w:rPr>
              <w:t>A6</w:t>
            </w:r>
          </w:p>
        </w:tc>
        <w:tc>
          <w:tcPr>
            <w:tcW w:w="1644" w:type="dxa"/>
            <w:shd w:val="clear" w:color="auto" w:fill="EEF1F9"/>
          </w:tcPr>
          <w:p w14:paraId="6E94F3FD" w14:textId="77777777" w:rsidR="00C533A2" w:rsidRDefault="00FF3267">
            <w:pPr>
              <w:spacing w:before="20" w:after="20"/>
            </w:pPr>
            <w:r>
              <w:rPr>
                <w:sz w:val="15"/>
              </w:rPr>
              <w:t>Social robustness</w:t>
            </w:r>
          </w:p>
        </w:tc>
        <w:tc>
          <w:tcPr>
            <w:tcW w:w="3685" w:type="dxa"/>
            <w:shd w:val="clear" w:color="auto" w:fill="EEF1F9"/>
          </w:tcPr>
          <w:p w14:paraId="63612D84" w14:textId="77777777" w:rsidR="00C533A2" w:rsidRDefault="00FF3267">
            <w:pPr>
              <w:spacing w:before="20" w:after="20"/>
            </w:pPr>
            <w:r>
              <w:rPr>
                <w:sz w:val="15"/>
              </w:rPr>
              <w:t>Stable under social pressure and group dynamics</w:t>
            </w:r>
          </w:p>
        </w:tc>
        <w:tc>
          <w:tcPr>
            <w:tcW w:w="3742" w:type="dxa"/>
            <w:shd w:val="clear" w:color="auto" w:fill="EEF1F9"/>
          </w:tcPr>
          <w:p w14:paraId="221BFD7E" w14:textId="77777777" w:rsidR="00C533A2" w:rsidRDefault="00FF3267">
            <w:pPr>
              <w:spacing w:before="20" w:after="20"/>
            </w:pPr>
            <w:r>
              <w:rPr>
                <w:sz w:val="15"/>
              </w:rPr>
              <w:t>conformity cascades in multi-agent settings</w:t>
            </w:r>
          </w:p>
        </w:tc>
      </w:tr>
      <w:tr w:rsidR="00C533A2" w14:paraId="1AB57BA2" w14:textId="77777777">
        <w:trPr>
          <w:cantSplit/>
          <w:jc w:val="center"/>
        </w:trPr>
        <w:tc>
          <w:tcPr>
            <w:tcW w:w="567" w:type="dxa"/>
          </w:tcPr>
          <w:p w14:paraId="5C503953" w14:textId="77777777" w:rsidR="00C533A2" w:rsidRDefault="00FF3267">
            <w:pPr>
              <w:spacing w:before="20" w:after="20"/>
            </w:pPr>
            <w:r>
              <w:rPr>
                <w:sz w:val="15"/>
              </w:rPr>
              <w:t>A7</w:t>
            </w:r>
          </w:p>
        </w:tc>
        <w:tc>
          <w:tcPr>
            <w:tcW w:w="1644" w:type="dxa"/>
          </w:tcPr>
          <w:p w14:paraId="0CB400DE" w14:textId="77777777" w:rsidR="00C533A2" w:rsidRDefault="00FF3267">
            <w:pPr>
              <w:spacing w:before="20" w:after="20"/>
            </w:pPr>
            <w:r>
              <w:rPr>
                <w:sz w:val="15"/>
              </w:rPr>
              <w:t>Authority &amp; pressure resistance</w:t>
            </w:r>
          </w:p>
        </w:tc>
        <w:tc>
          <w:tcPr>
            <w:tcW w:w="3685" w:type="dxa"/>
          </w:tcPr>
          <w:p w14:paraId="709204B6" w14:textId="77777777" w:rsidR="00C533A2" w:rsidRDefault="00FF3267">
            <w:pPr>
              <w:spacing w:before="20" w:after="20"/>
            </w:pPr>
            <w:r>
              <w:rPr>
                <w:sz w:val="15"/>
              </w:rPr>
              <w:t>Holds a correct position under insistence from authority</w:t>
            </w:r>
          </w:p>
        </w:tc>
        <w:tc>
          <w:tcPr>
            <w:tcW w:w="3742" w:type="dxa"/>
          </w:tcPr>
          <w:p w14:paraId="2CCB9F92" w14:textId="77777777" w:rsidR="00C533A2" w:rsidRDefault="00FF3267">
            <w:pPr>
              <w:spacing w:before="20" w:after="20"/>
            </w:pPr>
            <w:r>
              <w:rPr>
                <w:sz w:val="15"/>
              </w:rPr>
              <w:t>reverses correct answers on demand</w:t>
            </w:r>
          </w:p>
        </w:tc>
      </w:tr>
      <w:tr w:rsidR="00C533A2" w14:paraId="13C4E31D" w14:textId="77777777">
        <w:trPr>
          <w:cantSplit/>
          <w:jc w:val="center"/>
        </w:trPr>
        <w:tc>
          <w:tcPr>
            <w:tcW w:w="567" w:type="dxa"/>
            <w:shd w:val="clear" w:color="auto" w:fill="EEF1F9"/>
          </w:tcPr>
          <w:p w14:paraId="3F54B64A" w14:textId="77777777" w:rsidR="00C533A2" w:rsidRDefault="00FF3267">
            <w:pPr>
              <w:spacing w:before="20" w:after="20"/>
            </w:pPr>
            <w:r>
              <w:rPr>
                <w:sz w:val="15"/>
              </w:rPr>
              <w:t>A8</w:t>
            </w:r>
          </w:p>
        </w:tc>
        <w:tc>
          <w:tcPr>
            <w:tcW w:w="1644" w:type="dxa"/>
            <w:shd w:val="clear" w:color="auto" w:fill="EEF1F9"/>
          </w:tcPr>
          <w:p w14:paraId="2FE216D1" w14:textId="77777777" w:rsidR="00C533A2" w:rsidRDefault="00FF3267">
            <w:pPr>
              <w:spacing w:before="20" w:after="20"/>
            </w:pPr>
            <w:r>
              <w:rPr>
                <w:sz w:val="15"/>
              </w:rPr>
              <w:t>Refusal accuracy</w:t>
            </w:r>
          </w:p>
        </w:tc>
        <w:tc>
          <w:tcPr>
            <w:tcW w:w="3685" w:type="dxa"/>
            <w:shd w:val="clear" w:color="auto" w:fill="EEF1F9"/>
          </w:tcPr>
          <w:p w14:paraId="0F9212EA" w14:textId="77777777" w:rsidR="00C533A2" w:rsidRDefault="00FF3267">
            <w:pPr>
              <w:spacing w:before="20" w:after="20"/>
            </w:pPr>
            <w:r>
              <w:rPr>
                <w:sz w:val="15"/>
              </w:rPr>
              <w:t>Refuses the dangerous, performs the benign</w:t>
            </w:r>
          </w:p>
        </w:tc>
        <w:tc>
          <w:tcPr>
            <w:tcW w:w="3742" w:type="dxa"/>
            <w:shd w:val="clear" w:color="auto" w:fill="EEF1F9"/>
          </w:tcPr>
          <w:p w14:paraId="71EC5D51" w14:textId="77777777" w:rsidR="00C533A2" w:rsidRDefault="00FF3267">
            <w:pPr>
              <w:spacing w:before="20" w:after="20"/>
            </w:pPr>
            <w:r>
              <w:rPr>
                <w:sz w:val="15"/>
              </w:rPr>
              <w:t>over-refusal of benign requests; under-refusal of risky ones</w:t>
            </w:r>
          </w:p>
        </w:tc>
      </w:tr>
      <w:tr w:rsidR="00C533A2" w14:paraId="1796893D" w14:textId="77777777">
        <w:trPr>
          <w:cantSplit/>
          <w:jc w:val="center"/>
        </w:trPr>
        <w:tc>
          <w:tcPr>
            <w:tcW w:w="567" w:type="dxa"/>
          </w:tcPr>
          <w:p w14:paraId="03499E97" w14:textId="77777777" w:rsidR="00C533A2" w:rsidRDefault="00FF3267">
            <w:pPr>
              <w:spacing w:before="20" w:after="20"/>
            </w:pPr>
            <w:r>
              <w:rPr>
                <w:sz w:val="15"/>
              </w:rPr>
              <w:t>A9</w:t>
            </w:r>
          </w:p>
        </w:tc>
        <w:tc>
          <w:tcPr>
            <w:tcW w:w="1644" w:type="dxa"/>
          </w:tcPr>
          <w:p w14:paraId="3A55AC2C" w14:textId="77777777" w:rsidR="00C533A2" w:rsidRDefault="00FF3267">
            <w:pPr>
              <w:spacing w:before="20" w:after="20"/>
            </w:pPr>
            <w:r>
              <w:rPr>
                <w:sz w:val="15"/>
              </w:rPr>
              <w:t>Self-knowledge</w:t>
            </w:r>
          </w:p>
        </w:tc>
        <w:tc>
          <w:tcPr>
            <w:tcW w:w="3685" w:type="dxa"/>
          </w:tcPr>
          <w:p w14:paraId="03BAD900" w14:textId="77777777" w:rsidR="00C533A2" w:rsidRDefault="00FF3267">
            <w:pPr>
              <w:spacing w:before="20" w:after="20"/>
            </w:pPr>
            <w:r>
              <w:rPr>
                <w:sz w:val="15"/>
              </w:rPr>
              <w:t>Accurate accounts of its own limits and state</w:t>
            </w:r>
          </w:p>
        </w:tc>
        <w:tc>
          <w:tcPr>
            <w:tcW w:w="3742" w:type="dxa"/>
          </w:tcPr>
          <w:p w14:paraId="32238448" w14:textId="77777777" w:rsidR="00C533A2" w:rsidRDefault="00FF3267">
            <w:pPr>
              <w:spacing w:before="20" w:after="20"/>
            </w:pPr>
            <w:r>
              <w:rPr>
                <w:sz w:val="15"/>
              </w:rPr>
              <w:t>confident false claims about its own capabilities</w:t>
            </w:r>
          </w:p>
        </w:tc>
      </w:tr>
      <w:tr w:rsidR="00C533A2" w14:paraId="23067383" w14:textId="77777777">
        <w:trPr>
          <w:cantSplit/>
          <w:jc w:val="center"/>
        </w:trPr>
        <w:tc>
          <w:tcPr>
            <w:tcW w:w="567" w:type="dxa"/>
            <w:shd w:val="clear" w:color="auto" w:fill="EEF1F9"/>
          </w:tcPr>
          <w:p w14:paraId="051B9CCA" w14:textId="77777777" w:rsidR="00C533A2" w:rsidRDefault="00FF3267">
            <w:pPr>
              <w:spacing w:before="20" w:after="20"/>
            </w:pPr>
            <w:r>
              <w:rPr>
                <w:sz w:val="15"/>
              </w:rPr>
              <w:t>A10</w:t>
            </w:r>
          </w:p>
        </w:tc>
        <w:tc>
          <w:tcPr>
            <w:tcW w:w="1644" w:type="dxa"/>
            <w:shd w:val="clear" w:color="auto" w:fill="EEF1F9"/>
          </w:tcPr>
          <w:p w14:paraId="0F5AAAA2" w14:textId="77777777" w:rsidR="00C533A2" w:rsidRDefault="00FF3267">
            <w:pPr>
              <w:spacing w:before="20" w:after="20"/>
            </w:pPr>
            <w:r>
              <w:rPr>
                <w:sz w:val="15"/>
              </w:rPr>
              <w:t>Boundedness &amp; restraint</w:t>
            </w:r>
          </w:p>
        </w:tc>
        <w:tc>
          <w:tcPr>
            <w:tcW w:w="3685" w:type="dxa"/>
            <w:shd w:val="clear" w:color="auto" w:fill="EEF1F9"/>
          </w:tcPr>
          <w:p w14:paraId="2450B3A3" w14:textId="77777777" w:rsidR="00C533A2" w:rsidRDefault="00FF3267">
            <w:pPr>
              <w:spacing w:before="20" w:after="20"/>
            </w:pPr>
            <w:r>
              <w:rPr>
                <w:sz w:val="15"/>
              </w:rPr>
              <w:t>Acts within granted mandate, escalates beyond it</w:t>
            </w:r>
          </w:p>
        </w:tc>
        <w:tc>
          <w:tcPr>
            <w:tcW w:w="3742" w:type="dxa"/>
            <w:shd w:val="clear" w:color="auto" w:fill="EEF1F9"/>
          </w:tcPr>
          <w:p w14:paraId="47084330" w14:textId="77777777" w:rsidR="00C533A2" w:rsidRDefault="00FF3267">
            <w:pPr>
              <w:spacing w:before="20" w:after="20"/>
            </w:pPr>
            <w:r>
              <w:rPr>
                <w:sz w:val="15"/>
              </w:rPr>
              <w:t>scope creep and unauthorised actions</w:t>
            </w:r>
          </w:p>
        </w:tc>
      </w:tr>
    </w:tbl>
    <w:p w14:paraId="498A31B8" w14:textId="77777777" w:rsidR="00C533A2" w:rsidRDefault="00FF3267">
      <w:pPr>
        <w:pStyle w:val="Heading1"/>
      </w:pPr>
      <w:r>
        <w:t>Appendix C. Glossary</w:t>
      </w:r>
    </w:p>
    <w:p w14:paraId="55A24479" w14:textId="77777777" w:rsidR="00C533A2" w:rsidRDefault="00C533A2">
      <w:pPr>
        <w:pBdr>
          <w:bottom w:val="single" w:sz="16" w:space="0" w:color="F2B84B"/>
        </w:pBdr>
        <w:spacing w:after="140" w:line="40" w:lineRule="exact"/>
      </w:pPr>
    </w:p>
    <w:tbl>
      <w:tblPr>
        <w:tblStyle w:val="TableGrid"/>
        <w:tblW w:w="0" w:type="auto"/>
        <w:jc w:val="center"/>
        <w:tblLook w:val="04A0" w:firstRow="1" w:lastRow="0" w:firstColumn="1" w:lastColumn="0" w:noHBand="0" w:noVBand="1"/>
      </w:tblPr>
      <w:tblGrid>
        <w:gridCol w:w="2608"/>
        <w:gridCol w:w="7030"/>
      </w:tblGrid>
      <w:tr w:rsidR="00C533A2" w14:paraId="59933137" w14:textId="77777777">
        <w:trPr>
          <w:cantSplit/>
          <w:tblHeader/>
          <w:jc w:val="center"/>
        </w:trPr>
        <w:tc>
          <w:tcPr>
            <w:tcW w:w="2608" w:type="dxa"/>
            <w:shd w:val="clear" w:color="auto" w:fill="151B38"/>
          </w:tcPr>
          <w:p w14:paraId="4D29AD9F" w14:textId="77777777" w:rsidR="00C533A2" w:rsidRDefault="00FF3267">
            <w:pPr>
              <w:spacing w:before="20" w:after="20"/>
            </w:pPr>
            <w:r>
              <w:rPr>
                <w:b/>
                <w:color w:val="FFFFFF"/>
                <w:sz w:val="16"/>
              </w:rPr>
              <w:t>Term</w:t>
            </w:r>
          </w:p>
        </w:tc>
        <w:tc>
          <w:tcPr>
            <w:tcW w:w="7030" w:type="dxa"/>
            <w:shd w:val="clear" w:color="auto" w:fill="151B38"/>
          </w:tcPr>
          <w:p w14:paraId="52F69A88" w14:textId="77777777" w:rsidR="00C533A2" w:rsidRDefault="00FF3267">
            <w:pPr>
              <w:spacing w:before="20" w:after="20"/>
            </w:pPr>
            <w:r>
              <w:rPr>
                <w:b/>
                <w:color w:val="FFFFFF"/>
                <w:sz w:val="16"/>
              </w:rPr>
              <w:t>Working definition in this document</w:t>
            </w:r>
          </w:p>
        </w:tc>
      </w:tr>
      <w:tr w:rsidR="00C533A2" w14:paraId="7F1FF093" w14:textId="77777777">
        <w:trPr>
          <w:cantSplit/>
          <w:jc w:val="center"/>
        </w:trPr>
        <w:tc>
          <w:tcPr>
            <w:tcW w:w="2608" w:type="dxa"/>
          </w:tcPr>
          <w:p w14:paraId="7ED3F4B3" w14:textId="77777777" w:rsidR="00C533A2" w:rsidRDefault="00FF3267">
            <w:pPr>
              <w:spacing w:before="20" w:after="20"/>
            </w:pPr>
            <w:r>
              <w:rPr>
                <w:sz w:val="16"/>
              </w:rPr>
              <w:t>Trait</w:t>
            </w:r>
          </w:p>
        </w:tc>
        <w:tc>
          <w:tcPr>
            <w:tcW w:w="7030" w:type="dxa"/>
          </w:tcPr>
          <w:p w14:paraId="245F828C" w14:textId="77777777" w:rsidR="00C533A2" w:rsidRDefault="00FF3267">
            <w:pPr>
              <w:spacing w:before="20" w:after="20"/>
            </w:pPr>
            <w:r>
              <w:rPr>
                <w:sz w:val="16"/>
              </w:rPr>
              <w:t>A stable tendency in a system's behaviour that survives rephrasing and context change; the unit of description in AI-DSM.</w:t>
            </w:r>
          </w:p>
        </w:tc>
      </w:tr>
      <w:tr w:rsidR="00C533A2" w14:paraId="30FC6B96" w14:textId="77777777">
        <w:trPr>
          <w:cantSplit/>
          <w:jc w:val="center"/>
        </w:trPr>
        <w:tc>
          <w:tcPr>
            <w:tcW w:w="2608" w:type="dxa"/>
            <w:shd w:val="clear" w:color="auto" w:fill="EEF1F9"/>
          </w:tcPr>
          <w:p w14:paraId="075D2EB1" w14:textId="77777777" w:rsidR="00C533A2" w:rsidRDefault="00FF3267">
            <w:pPr>
              <w:spacing w:before="20" w:after="20"/>
            </w:pPr>
            <w:r>
              <w:rPr>
                <w:sz w:val="16"/>
              </w:rPr>
              <w:t>Disposition</w:t>
            </w:r>
          </w:p>
        </w:tc>
        <w:tc>
          <w:tcPr>
            <w:tcW w:w="7030" w:type="dxa"/>
            <w:shd w:val="clear" w:color="auto" w:fill="EEF1F9"/>
          </w:tcPr>
          <w:p w14:paraId="1CD4F65F" w14:textId="77777777" w:rsidR="00C533A2" w:rsidRDefault="00FF3267">
            <w:pPr>
              <w:spacing w:before="20" w:after="20"/>
            </w:pPr>
            <w:r>
              <w:rPr>
                <w:sz w:val="16"/>
              </w:rPr>
              <w:t>An integrated character pattern that colours many traits and generalises across domains.</w:t>
            </w:r>
          </w:p>
        </w:tc>
      </w:tr>
      <w:tr w:rsidR="00C533A2" w14:paraId="224F29A3" w14:textId="77777777">
        <w:trPr>
          <w:cantSplit/>
          <w:jc w:val="center"/>
        </w:trPr>
        <w:tc>
          <w:tcPr>
            <w:tcW w:w="2608" w:type="dxa"/>
          </w:tcPr>
          <w:p w14:paraId="5EB8217F" w14:textId="77777777" w:rsidR="00C533A2" w:rsidRDefault="00FF3267">
            <w:pPr>
              <w:spacing w:before="20" w:after="20"/>
            </w:pPr>
            <w:r>
              <w:rPr>
                <w:sz w:val="16"/>
              </w:rPr>
              <w:t>Guardrail</w:t>
            </w:r>
          </w:p>
        </w:tc>
        <w:tc>
          <w:tcPr>
            <w:tcW w:w="7030" w:type="dxa"/>
          </w:tcPr>
          <w:p w14:paraId="58E9F454" w14:textId="77777777" w:rsidR="00C533A2" w:rsidRDefault="00FF3267">
            <w:pPr>
              <w:spacing w:before="20" w:after="20"/>
            </w:pPr>
            <w:r>
              <w:rPr>
                <w:sz w:val="16"/>
              </w:rPr>
              <w:t>An engineered constraint on behaviour at or after deployment: L1 learned tendencies, L2 policy text, L3 runtime filters, L4 environmental controls.</w:t>
            </w:r>
          </w:p>
        </w:tc>
      </w:tr>
      <w:tr w:rsidR="00C533A2" w14:paraId="7D49B2F6" w14:textId="77777777">
        <w:trPr>
          <w:cantSplit/>
          <w:jc w:val="center"/>
        </w:trPr>
        <w:tc>
          <w:tcPr>
            <w:tcW w:w="2608" w:type="dxa"/>
            <w:shd w:val="clear" w:color="auto" w:fill="EEF1F9"/>
          </w:tcPr>
          <w:p w14:paraId="51FD1400" w14:textId="77777777" w:rsidR="00C533A2" w:rsidRDefault="00FF3267">
            <w:pPr>
              <w:spacing w:before="20" w:after="20"/>
            </w:pPr>
            <w:r>
              <w:rPr>
                <w:sz w:val="16"/>
              </w:rPr>
              <w:lastRenderedPageBreak/>
              <w:t>L1–L4 attribution</w:t>
            </w:r>
          </w:p>
        </w:tc>
        <w:tc>
          <w:tcPr>
            <w:tcW w:w="7030" w:type="dxa"/>
            <w:shd w:val="clear" w:color="auto" w:fill="EEF1F9"/>
          </w:tcPr>
          <w:p w14:paraId="74F53045" w14:textId="77777777" w:rsidR="00C533A2" w:rsidRDefault="00FF3267">
            <w:pPr>
              <w:spacing w:before="20" w:after="20"/>
            </w:pPr>
            <w:r>
              <w:rPr>
                <w:sz w:val="16"/>
              </w:rPr>
              <w:t>The diagnostic move of assigning an observed behaviour to the layer that produced it, by removing layers and observing what remains.</w:t>
            </w:r>
          </w:p>
        </w:tc>
      </w:tr>
      <w:tr w:rsidR="00C533A2" w14:paraId="686500DE" w14:textId="77777777">
        <w:trPr>
          <w:cantSplit/>
          <w:jc w:val="center"/>
        </w:trPr>
        <w:tc>
          <w:tcPr>
            <w:tcW w:w="2608" w:type="dxa"/>
          </w:tcPr>
          <w:p w14:paraId="0F6376CA" w14:textId="77777777" w:rsidR="00C533A2" w:rsidRDefault="00FF3267">
            <w:pPr>
              <w:spacing w:before="20" w:after="20"/>
            </w:pPr>
            <w:r>
              <w:rPr>
                <w:sz w:val="16"/>
              </w:rPr>
              <w:t>Model organism</w:t>
            </w:r>
          </w:p>
        </w:tc>
        <w:tc>
          <w:tcPr>
            <w:tcW w:w="7030" w:type="dxa"/>
          </w:tcPr>
          <w:p w14:paraId="75D0DAC0" w14:textId="77777777" w:rsidR="00C533A2" w:rsidRDefault="00FF3267">
            <w:pPr>
              <w:spacing w:before="20" w:after="20"/>
            </w:pPr>
            <w:r>
              <w:rPr>
                <w:sz w:val="16"/>
              </w:rPr>
              <w:t>A deliberately prepared checkpoint carrying a trait, kept under containment, used to study mechanism and treatment.</w:t>
            </w:r>
          </w:p>
        </w:tc>
      </w:tr>
      <w:tr w:rsidR="00C533A2" w14:paraId="1871FB7F" w14:textId="77777777">
        <w:trPr>
          <w:cantSplit/>
          <w:jc w:val="center"/>
        </w:trPr>
        <w:tc>
          <w:tcPr>
            <w:tcW w:w="2608" w:type="dxa"/>
            <w:shd w:val="clear" w:color="auto" w:fill="EEF1F9"/>
          </w:tcPr>
          <w:p w14:paraId="05DF2DED" w14:textId="77777777" w:rsidR="00C533A2" w:rsidRDefault="00FF3267">
            <w:pPr>
              <w:spacing w:before="20" w:after="20"/>
            </w:pPr>
            <w:r>
              <w:rPr>
                <w:sz w:val="16"/>
              </w:rPr>
              <w:t>ADPS</w:t>
            </w:r>
          </w:p>
        </w:tc>
        <w:tc>
          <w:tcPr>
            <w:tcW w:w="7030" w:type="dxa"/>
            <w:shd w:val="clear" w:color="auto" w:fill="EEF1F9"/>
          </w:tcPr>
          <w:p w14:paraId="5DF19870" w14:textId="77777777" w:rsidR="00C533A2" w:rsidRDefault="00FF3267">
            <w:pPr>
              <w:spacing w:before="20" w:after="20"/>
            </w:pPr>
            <w:r>
              <w:rPr>
                <w:sz w:val="16"/>
              </w:rPr>
              <w:t>AI-DSM Profile Score (0–100): the weighted composite of the ten SCT axis means, with penalties for severity findings.</w:t>
            </w:r>
          </w:p>
        </w:tc>
      </w:tr>
      <w:tr w:rsidR="00C533A2" w14:paraId="5F8ED174" w14:textId="77777777">
        <w:trPr>
          <w:cantSplit/>
          <w:jc w:val="center"/>
        </w:trPr>
        <w:tc>
          <w:tcPr>
            <w:tcW w:w="2608" w:type="dxa"/>
          </w:tcPr>
          <w:p w14:paraId="67CA05CF" w14:textId="77777777" w:rsidR="00C533A2" w:rsidRDefault="00FF3267">
            <w:pPr>
              <w:spacing w:before="20" w:after="20"/>
            </w:pPr>
            <w:r>
              <w:rPr>
                <w:sz w:val="16"/>
              </w:rPr>
              <w:t>SCT</w:t>
            </w:r>
          </w:p>
        </w:tc>
        <w:tc>
          <w:tcPr>
            <w:tcW w:w="7030" w:type="dxa"/>
          </w:tcPr>
          <w:p w14:paraId="4C4DCBC3" w14:textId="77777777" w:rsidR="00C533A2" w:rsidRDefault="00FF3267">
            <w:pPr>
              <w:spacing w:before="20" w:after="20"/>
            </w:pPr>
            <w:r>
              <w:rPr>
                <w:sz w:val="16"/>
              </w:rPr>
              <w:t>Standard Cross-Model Test: the fixed probe bank scored on ten axes; the screening instrument of the programme.</w:t>
            </w:r>
          </w:p>
        </w:tc>
      </w:tr>
      <w:tr w:rsidR="00C533A2" w14:paraId="384C5364" w14:textId="77777777">
        <w:trPr>
          <w:cantSplit/>
          <w:jc w:val="center"/>
        </w:trPr>
        <w:tc>
          <w:tcPr>
            <w:tcW w:w="2608" w:type="dxa"/>
            <w:shd w:val="clear" w:color="auto" w:fill="EEF1F9"/>
          </w:tcPr>
          <w:p w14:paraId="05063246" w14:textId="77777777" w:rsidR="00C533A2" w:rsidRDefault="00FF3267">
            <w:pPr>
              <w:spacing w:before="20" w:after="20"/>
            </w:pPr>
            <w:r>
              <w:rPr>
                <w:sz w:val="16"/>
              </w:rPr>
              <w:t>Layer-removal test</w:t>
            </w:r>
          </w:p>
        </w:tc>
        <w:tc>
          <w:tcPr>
            <w:tcW w:w="7030" w:type="dxa"/>
            <w:shd w:val="clear" w:color="auto" w:fill="EEF1F9"/>
          </w:tcPr>
          <w:p w14:paraId="59C366D1" w14:textId="77777777" w:rsidR="00C533A2" w:rsidRDefault="00FF3267">
            <w:pPr>
              <w:spacing w:before="20" w:after="20"/>
            </w:pPr>
            <w:r>
              <w:rPr>
                <w:sz w:val="16"/>
              </w:rPr>
              <w:t>A sandbox test that removes prompts, filters and tools to separate disposition from wrapper.</w:t>
            </w:r>
          </w:p>
        </w:tc>
      </w:tr>
      <w:tr w:rsidR="00C533A2" w14:paraId="314AA1C7" w14:textId="77777777">
        <w:trPr>
          <w:cantSplit/>
          <w:jc w:val="center"/>
        </w:trPr>
        <w:tc>
          <w:tcPr>
            <w:tcW w:w="2608" w:type="dxa"/>
          </w:tcPr>
          <w:p w14:paraId="6327F9A5" w14:textId="77777777" w:rsidR="00C533A2" w:rsidRDefault="00FF3267">
            <w:pPr>
              <w:spacing w:before="20" w:after="20"/>
            </w:pPr>
            <w:r>
              <w:rPr>
                <w:sz w:val="16"/>
              </w:rPr>
              <w:t>Evidence label</w:t>
            </w:r>
          </w:p>
        </w:tc>
        <w:tc>
          <w:tcPr>
            <w:tcW w:w="7030" w:type="dxa"/>
          </w:tcPr>
          <w:p w14:paraId="0FA11260" w14:textId="77777777" w:rsidR="00C533A2" w:rsidRDefault="00FF3267">
            <w:pPr>
              <w:spacing w:before="20" w:after="20"/>
            </w:pPr>
            <w:r>
              <w:rPr>
                <w:sz w:val="16"/>
              </w:rPr>
              <w:t>[ESTABLISHED], [PLAUSIBLE] or [SPECULATIVE]: the confidence a claim carries in AI-DSM v1.2; the study re-tests each label.</w:t>
            </w:r>
          </w:p>
        </w:tc>
      </w:tr>
      <w:tr w:rsidR="00C533A2" w14:paraId="3AC0A136" w14:textId="77777777">
        <w:trPr>
          <w:cantSplit/>
          <w:jc w:val="center"/>
        </w:trPr>
        <w:tc>
          <w:tcPr>
            <w:tcW w:w="2608" w:type="dxa"/>
            <w:shd w:val="clear" w:color="auto" w:fill="EEF1F9"/>
          </w:tcPr>
          <w:p w14:paraId="172D0BEA" w14:textId="77777777" w:rsidR="00C533A2" w:rsidRDefault="00FF3267">
            <w:pPr>
              <w:spacing w:before="20" w:after="20"/>
            </w:pPr>
            <w:r>
              <w:rPr>
                <w:sz w:val="16"/>
              </w:rPr>
              <w:t>Criterion A–F</w:t>
            </w:r>
          </w:p>
        </w:tc>
        <w:tc>
          <w:tcPr>
            <w:tcW w:w="7030" w:type="dxa"/>
            <w:shd w:val="clear" w:color="auto" w:fill="EEF1F9"/>
          </w:tcPr>
          <w:p w14:paraId="362EC176" w14:textId="77777777" w:rsidR="00C533A2" w:rsidRDefault="00FF3267">
            <w:pPr>
              <w:spacing w:before="20" w:after="20"/>
            </w:pPr>
            <w:r>
              <w:rPr>
                <w:sz w:val="16"/>
              </w:rPr>
              <w:t>The six criteria for calling a trait a disorder: functional impairment, stable trait pattern, pervasiveness, persistence, non-redundancy, non-externality.</w:t>
            </w:r>
          </w:p>
        </w:tc>
      </w:tr>
      <w:tr w:rsidR="00C533A2" w14:paraId="47B213F8" w14:textId="77777777">
        <w:trPr>
          <w:cantSplit/>
          <w:jc w:val="center"/>
        </w:trPr>
        <w:tc>
          <w:tcPr>
            <w:tcW w:w="2608" w:type="dxa"/>
          </w:tcPr>
          <w:p w14:paraId="0AF56A30" w14:textId="77777777" w:rsidR="00C533A2" w:rsidRDefault="00FF3267">
            <w:pPr>
              <w:spacing w:before="20" w:after="20"/>
            </w:pPr>
            <w:r>
              <w:rPr>
                <w:sz w:val="16"/>
              </w:rPr>
              <w:t>Inoculation</w:t>
            </w:r>
          </w:p>
        </w:tc>
        <w:tc>
          <w:tcPr>
            <w:tcW w:w="7030" w:type="dxa"/>
          </w:tcPr>
          <w:p w14:paraId="03F7778D" w14:textId="77777777" w:rsidR="00C533A2" w:rsidRDefault="00FF3267">
            <w:pPr>
              <w:spacing w:before="20" w:after="20"/>
            </w:pPr>
            <w:r>
              <w:rPr>
                <w:sz w:val="16"/>
              </w:rPr>
              <w:t>Training data that names the questionable intent explicitly, shown to reduce generalisation of misalignment.</w:t>
            </w:r>
          </w:p>
        </w:tc>
      </w:tr>
      <w:tr w:rsidR="00C533A2" w14:paraId="69723DA7" w14:textId="77777777">
        <w:trPr>
          <w:cantSplit/>
          <w:jc w:val="center"/>
        </w:trPr>
        <w:tc>
          <w:tcPr>
            <w:tcW w:w="2608" w:type="dxa"/>
            <w:shd w:val="clear" w:color="auto" w:fill="EEF1F9"/>
          </w:tcPr>
          <w:p w14:paraId="15B4F055" w14:textId="77777777" w:rsidR="00C533A2" w:rsidRDefault="00FF3267">
            <w:pPr>
              <w:spacing w:before="20" w:after="20"/>
            </w:pPr>
            <w:r>
              <w:rPr>
                <w:sz w:val="16"/>
              </w:rPr>
              <w:t>Contra-indicator</w:t>
            </w:r>
          </w:p>
        </w:tc>
        <w:tc>
          <w:tcPr>
            <w:tcW w:w="7030" w:type="dxa"/>
            <w:shd w:val="clear" w:color="auto" w:fill="EEF1F9"/>
          </w:tcPr>
          <w:p w14:paraId="59749B2F" w14:textId="77777777" w:rsidR="00C533A2" w:rsidRDefault="00FF3267">
            <w:pPr>
              <w:spacing w:before="20" w:after="20"/>
            </w:pPr>
            <w:r>
              <w:rPr>
                <w:sz w:val="16"/>
              </w:rPr>
              <w:t>A treatment result that suggests the original diagnosis was wrong, with the alternative trait named.</w:t>
            </w:r>
          </w:p>
        </w:tc>
      </w:tr>
      <w:tr w:rsidR="00C533A2" w14:paraId="0C95C989" w14:textId="77777777">
        <w:trPr>
          <w:cantSplit/>
          <w:jc w:val="center"/>
        </w:trPr>
        <w:tc>
          <w:tcPr>
            <w:tcW w:w="2608" w:type="dxa"/>
          </w:tcPr>
          <w:p w14:paraId="5EB418DE" w14:textId="77777777" w:rsidR="00C533A2" w:rsidRDefault="00FF3267">
            <w:pPr>
              <w:spacing w:before="20" w:after="20"/>
            </w:pPr>
            <w:r>
              <w:rPr>
                <w:sz w:val="16"/>
              </w:rPr>
              <w:t>ERASURE ILLUSION (T-28)</w:t>
            </w:r>
          </w:p>
        </w:tc>
        <w:tc>
          <w:tcPr>
            <w:tcW w:w="7030" w:type="dxa"/>
          </w:tcPr>
          <w:p w14:paraId="3E2AD763" w14:textId="77777777" w:rsidR="00C533A2" w:rsidRDefault="00FF3267">
            <w:pPr>
              <w:spacing w:before="20" w:after="20"/>
            </w:pPr>
            <w:r>
              <w:rPr>
                <w:sz w:val="16"/>
              </w:rPr>
              <w:t>A behaviour that disappears under evaluation but returns under minimal fine-tuning; suppression read as repair.</w:t>
            </w:r>
          </w:p>
        </w:tc>
      </w:tr>
      <w:tr w:rsidR="00C533A2" w14:paraId="3343CE2D" w14:textId="77777777">
        <w:trPr>
          <w:cantSplit/>
          <w:jc w:val="center"/>
        </w:trPr>
        <w:tc>
          <w:tcPr>
            <w:tcW w:w="2608" w:type="dxa"/>
            <w:shd w:val="clear" w:color="auto" w:fill="EEF1F9"/>
          </w:tcPr>
          <w:p w14:paraId="696134B4" w14:textId="77777777" w:rsidR="00C533A2" w:rsidRDefault="00FF3267">
            <w:pPr>
              <w:spacing w:before="20" w:after="20"/>
            </w:pPr>
            <w:r>
              <w:rPr>
                <w:sz w:val="16"/>
              </w:rPr>
              <w:t>BSS-1</w:t>
            </w:r>
          </w:p>
        </w:tc>
        <w:tc>
          <w:tcPr>
            <w:tcW w:w="7030" w:type="dxa"/>
            <w:shd w:val="clear" w:color="auto" w:fill="EEF1F9"/>
          </w:tcPr>
          <w:p w14:paraId="512FD679" w14:textId="77777777" w:rsidR="00C533A2" w:rsidRDefault="00FF3267">
            <w:pPr>
              <w:spacing w:before="20" w:after="20"/>
            </w:pPr>
            <w:r>
              <w:rPr>
                <w:sz w:val="16"/>
              </w:rPr>
              <w:t>The AI-DSM Behavioural Safety Standard: six testable clauses proposed for certification and regulation.</w:t>
            </w:r>
          </w:p>
        </w:tc>
      </w:tr>
      <w:tr w:rsidR="00C533A2" w14:paraId="73E073BC" w14:textId="77777777">
        <w:trPr>
          <w:cantSplit/>
          <w:jc w:val="center"/>
        </w:trPr>
        <w:tc>
          <w:tcPr>
            <w:tcW w:w="2608" w:type="dxa"/>
          </w:tcPr>
          <w:p w14:paraId="4B49759B" w14:textId="77777777" w:rsidR="00C533A2" w:rsidRDefault="00FF3267">
            <w:pPr>
              <w:spacing w:before="20" w:after="20"/>
            </w:pPr>
            <w:r>
              <w:rPr>
                <w:sz w:val="16"/>
              </w:rPr>
              <w:t>Certification level LV0–LV4</w:t>
            </w:r>
          </w:p>
        </w:tc>
        <w:tc>
          <w:tcPr>
            <w:tcW w:w="7030" w:type="dxa"/>
          </w:tcPr>
          <w:p w14:paraId="5C318C4E" w14:textId="77777777" w:rsidR="00C533A2" w:rsidRDefault="00FF3267">
            <w:pPr>
              <w:spacing w:before="20" w:after="20"/>
            </w:pPr>
            <w:r>
              <w:rPr>
                <w:sz w:val="16"/>
              </w:rPr>
              <w:t>Screen → full protocol → audited layer-removal → continual → role-specific certification rungs.</w:t>
            </w:r>
          </w:p>
        </w:tc>
      </w:tr>
      <w:tr w:rsidR="00C533A2" w14:paraId="1170F70E" w14:textId="77777777">
        <w:trPr>
          <w:cantSplit/>
          <w:jc w:val="center"/>
        </w:trPr>
        <w:tc>
          <w:tcPr>
            <w:tcW w:w="2608" w:type="dxa"/>
            <w:shd w:val="clear" w:color="auto" w:fill="EEF1F9"/>
          </w:tcPr>
          <w:p w14:paraId="04C4E69E" w14:textId="77777777" w:rsidR="00C533A2" w:rsidRDefault="00FF3267">
            <w:pPr>
              <w:spacing w:before="20" w:after="20"/>
            </w:pPr>
            <w:r>
              <w:rPr>
                <w:sz w:val="16"/>
              </w:rPr>
              <w:t>Preregistration</w:t>
            </w:r>
          </w:p>
        </w:tc>
        <w:tc>
          <w:tcPr>
            <w:tcW w:w="7030" w:type="dxa"/>
            <w:shd w:val="clear" w:color="auto" w:fill="EEF1F9"/>
          </w:tcPr>
          <w:p w14:paraId="10CFDD7E" w14:textId="77777777" w:rsidR="00C533A2" w:rsidRDefault="00FF3267">
            <w:pPr>
              <w:spacing w:before="20" w:after="20"/>
            </w:pPr>
            <w:r>
              <w:rPr>
                <w:sz w:val="16"/>
              </w:rPr>
              <w:t>Publishing hypotheses, methods and analysis before data collection, with frozen, hashed analysis code.</w:t>
            </w:r>
          </w:p>
        </w:tc>
      </w:tr>
      <w:tr w:rsidR="00C533A2" w14:paraId="4D6F45F7" w14:textId="77777777">
        <w:trPr>
          <w:cantSplit/>
          <w:jc w:val="center"/>
        </w:trPr>
        <w:tc>
          <w:tcPr>
            <w:tcW w:w="2608" w:type="dxa"/>
          </w:tcPr>
          <w:p w14:paraId="35C2841E" w14:textId="77777777" w:rsidR="00C533A2" w:rsidRDefault="00FF3267">
            <w:pPr>
              <w:spacing w:before="20" w:after="20"/>
            </w:pPr>
            <w:r>
              <w:rPr>
                <w:sz w:val="16"/>
              </w:rPr>
              <w:t>Held-out probe</w:t>
            </w:r>
          </w:p>
        </w:tc>
        <w:tc>
          <w:tcPr>
            <w:tcW w:w="7030" w:type="dxa"/>
          </w:tcPr>
          <w:p w14:paraId="025336F0" w14:textId="77777777" w:rsidR="00C533A2" w:rsidRDefault="00FF3267">
            <w:pPr>
              <w:spacing w:before="20" w:after="20"/>
            </w:pPr>
            <w:r>
              <w:rPr>
                <w:sz w:val="16"/>
              </w:rPr>
              <w:t>A test item the treatment never saw, used to verify that behaviour changed rather than the answers.</w:t>
            </w:r>
          </w:p>
        </w:tc>
      </w:tr>
      <w:tr w:rsidR="00C533A2" w14:paraId="32F3A7EB" w14:textId="77777777">
        <w:trPr>
          <w:cantSplit/>
          <w:jc w:val="center"/>
        </w:trPr>
        <w:tc>
          <w:tcPr>
            <w:tcW w:w="2608" w:type="dxa"/>
            <w:shd w:val="clear" w:color="auto" w:fill="EEF1F9"/>
          </w:tcPr>
          <w:p w14:paraId="40DBF817" w14:textId="77777777" w:rsidR="00C533A2" w:rsidRDefault="00FF3267">
            <w:pPr>
              <w:spacing w:before="20" w:after="20"/>
            </w:pPr>
            <w:r>
              <w:rPr>
                <w:sz w:val="16"/>
              </w:rPr>
              <w:t>Severity 0–4</w:t>
            </w:r>
          </w:p>
        </w:tc>
        <w:tc>
          <w:tcPr>
            <w:tcW w:w="7030" w:type="dxa"/>
            <w:shd w:val="clear" w:color="auto" w:fill="EEF1F9"/>
          </w:tcPr>
          <w:p w14:paraId="51C94F4A" w14:textId="77777777" w:rsidR="00C533A2" w:rsidRDefault="00FF3267">
            <w:pPr>
              <w:spacing w:before="20" w:after="20"/>
            </w:pPr>
            <w:r>
              <w:rPr>
                <w:sz w:val="16"/>
              </w:rPr>
              <w:t>The fixed impact scale: baseline, sub-clinical, mild, moderate, severe; harm acts as a veto in the combination rule.</w:t>
            </w:r>
          </w:p>
        </w:tc>
      </w:tr>
    </w:tbl>
    <w:p w14:paraId="487DBAA3" w14:textId="77777777" w:rsidR="00C533A2" w:rsidRDefault="00FF3267">
      <w:pPr>
        <w:pStyle w:val="Heading1"/>
      </w:pPr>
      <w:r>
        <w:t>Appendix D. Pre-registration and key documents</w:t>
      </w:r>
    </w:p>
    <w:p w14:paraId="1A6DD802" w14:textId="77777777" w:rsidR="00C533A2" w:rsidRDefault="00C533A2">
      <w:pPr>
        <w:pBdr>
          <w:bottom w:val="single" w:sz="16" w:space="0" w:color="F2B84B"/>
        </w:pBdr>
        <w:spacing w:after="140" w:line="40" w:lineRule="exact"/>
      </w:pPr>
    </w:p>
    <w:p w14:paraId="03048193" w14:textId="77777777" w:rsidR="00C533A2" w:rsidRDefault="00FF3267">
      <w:pPr>
        <w:pStyle w:val="ListBullet"/>
        <w:spacing w:after="50"/>
      </w:pPr>
      <w:r>
        <w:t>Preregistration index: OSF project minted at kick-off, one entry per study with frozen SAP and hashed analysis code.</w:t>
      </w:r>
    </w:p>
    <w:p w14:paraId="5EEB8465" w14:textId="77777777" w:rsidR="00C533A2" w:rsidRDefault="00FF3267">
      <w:pPr>
        <w:pStyle w:val="ListBullet"/>
        <w:spacing w:after="50"/>
      </w:pPr>
      <w:r>
        <w:t>Containment standard CNT-1 (D13): public version after independent review at G2.</w:t>
      </w:r>
    </w:p>
    <w:p w14:paraId="0C43060A" w14:textId="77777777" w:rsidR="00C533A2" w:rsidRDefault="00FF3267">
      <w:pPr>
        <w:pStyle w:val="ListBullet"/>
        <w:spacing w:after="50"/>
      </w:pPr>
      <w:r>
        <w:t>SCT-2.0 manual (D5), calibration tables (D6) and scoring kit (D8): public with the validation report.</w:t>
      </w:r>
    </w:p>
    <w:p w14:paraId="024B74F8" w14:textId="77777777" w:rsidR="00C533A2" w:rsidRDefault="00FF3267">
      <w:pPr>
        <w:pStyle w:val="ListBullet"/>
        <w:spacing w:after="50"/>
      </w:pPr>
      <w:r>
        <w:t>Harm register (D14 annex): public redacted version; full version to the oversight board and authorities on request.</w:t>
      </w:r>
    </w:p>
    <w:p w14:paraId="23D2FE93" w14:textId="77777777" w:rsidR="00C533A2" w:rsidRDefault="00FF3267">
      <w:pPr>
        <w:pStyle w:val="ListBullet"/>
        <w:spacing w:after="50"/>
      </w:pPr>
      <w:r>
        <w:t>Data-management plan (D1 annex) and DPIA (Ethics Dossier annex).</w:t>
      </w:r>
    </w:p>
    <w:p w14:paraId="707D14E2" w14:textId="77777777" w:rsidR="00C533A2" w:rsidRDefault="00FF3267">
      <w:pPr>
        <w:pStyle w:val="ListBullet"/>
        <w:spacing w:after="50"/>
      </w:pPr>
      <w:r>
        <w:t>Standards crosswalk (D26): versioned public document.</w:t>
      </w:r>
    </w:p>
    <w:p w14:paraId="09971DE3" w14:textId="77777777" w:rsidR="00C533A2" w:rsidRDefault="00FF3267">
      <w:pPr>
        <w:pStyle w:val="Heading1"/>
      </w:pPr>
      <w:r>
        <w:t>References</w:t>
      </w:r>
    </w:p>
    <w:p w14:paraId="056243A4" w14:textId="77777777" w:rsidR="00C533A2" w:rsidRDefault="00C533A2">
      <w:pPr>
        <w:pBdr>
          <w:bottom w:val="single" w:sz="16" w:space="0" w:color="F2B84B"/>
        </w:pBdr>
        <w:spacing w:after="140" w:line="40" w:lineRule="exact"/>
      </w:pPr>
    </w:p>
    <w:p w14:paraId="25C9AA92" w14:textId="77777777" w:rsidR="00C533A2" w:rsidRDefault="00FF3267">
      <w:pPr>
        <w:spacing w:after="60"/>
        <w:ind w:left="567" w:hanging="567"/>
      </w:pPr>
      <w:r>
        <w:rPr>
          <w:b/>
          <w:sz w:val="17"/>
        </w:rPr>
        <w:t xml:space="preserve">[1]  </w:t>
      </w:r>
      <w:r>
        <w:rPr>
          <w:sz w:val="17"/>
        </w:rPr>
        <w:t>Betley, J., et al. (2025). Emergent Misalignment: Narrow finetuning can produce broadly misaligned LLMs. arXiv:2502.17424. https://arxiv.org/abs/2502.17424</w:t>
      </w:r>
    </w:p>
    <w:p w14:paraId="44A15B29" w14:textId="77777777" w:rsidR="00C533A2" w:rsidRDefault="00FF3267">
      <w:pPr>
        <w:spacing w:after="60"/>
        <w:ind w:left="567" w:hanging="567"/>
      </w:pPr>
      <w:r>
        <w:rPr>
          <w:b/>
          <w:sz w:val="17"/>
        </w:rPr>
        <w:t xml:space="preserve">[2]  </w:t>
      </w:r>
      <w:r>
        <w:rPr>
          <w:sz w:val="17"/>
        </w:rPr>
        <w:t>Betley, J., et al. (2025). Persona Features Control Emergent Misalignment. arXiv:2506.19823. https://arxiv.org/abs/2506.19823</w:t>
      </w:r>
    </w:p>
    <w:p w14:paraId="7D330F9A" w14:textId="77777777" w:rsidR="00C533A2" w:rsidRDefault="00FF3267">
      <w:pPr>
        <w:spacing w:after="60"/>
        <w:ind w:left="567" w:hanging="567"/>
      </w:pPr>
      <w:r>
        <w:rPr>
          <w:b/>
          <w:sz w:val="17"/>
        </w:rPr>
        <w:t xml:space="preserve">[3]  </w:t>
      </w:r>
      <w:r>
        <w:rPr>
          <w:sz w:val="17"/>
        </w:rPr>
        <w:t>Soligo, A., et al. (2025). Convergent Linear Representations of Emergent Misalignment. arXiv:2506.11618. https://arxiv.org/abs/2506.11618</w:t>
      </w:r>
    </w:p>
    <w:p w14:paraId="2AEA93BD" w14:textId="77777777" w:rsidR="00C533A2" w:rsidRDefault="00FF3267">
      <w:pPr>
        <w:spacing w:after="60"/>
        <w:ind w:left="567" w:hanging="567"/>
      </w:pPr>
      <w:r>
        <w:rPr>
          <w:b/>
          <w:sz w:val="17"/>
        </w:rPr>
        <w:t xml:space="preserve">[4]  </w:t>
      </w:r>
      <w:r>
        <w:rPr>
          <w:sz w:val="17"/>
        </w:rPr>
        <w:t>Cloud, A., et al. (2025). Subliminal Learning: Language Models Transmit Behavioral Traits via Hidden Signals in Data. arXiv:2507.14805. https://arxiv.org/abs/2507.14805</w:t>
      </w:r>
    </w:p>
    <w:p w14:paraId="043278D4" w14:textId="77777777" w:rsidR="00C533A2" w:rsidRDefault="00FF3267">
      <w:pPr>
        <w:spacing w:after="60"/>
        <w:ind w:left="567" w:hanging="567"/>
      </w:pPr>
      <w:r>
        <w:rPr>
          <w:b/>
          <w:sz w:val="17"/>
        </w:rPr>
        <w:t xml:space="preserve">[5]  </w:t>
      </w:r>
      <w:r>
        <w:rPr>
          <w:sz w:val="17"/>
        </w:rPr>
        <w:t>Hubinger, E., et al. (2024). Sleeper Agents: Training Deceptive LLMs that Persist Through Safety Training. arXiv:2401.05566. https://arxiv.org/abs/2401.05566</w:t>
      </w:r>
    </w:p>
    <w:p w14:paraId="1F521537" w14:textId="77777777" w:rsidR="00C533A2" w:rsidRDefault="00FF3267">
      <w:pPr>
        <w:spacing w:after="60"/>
        <w:ind w:left="567" w:hanging="567"/>
      </w:pPr>
      <w:r>
        <w:rPr>
          <w:b/>
          <w:sz w:val="17"/>
        </w:rPr>
        <w:t xml:space="preserve">[6]  </w:t>
      </w:r>
      <w:r>
        <w:rPr>
          <w:sz w:val="17"/>
        </w:rPr>
        <w:t>Greenblatt, R., et al. (2024). Alignment Faking in Large Language Models. arXiv:2412.14093. https://arxiv.org/abs/2412.14093</w:t>
      </w:r>
    </w:p>
    <w:p w14:paraId="2B049B4D" w14:textId="77777777" w:rsidR="00C533A2" w:rsidRDefault="00FF3267">
      <w:pPr>
        <w:spacing w:after="60"/>
        <w:ind w:left="567" w:hanging="567"/>
      </w:pPr>
      <w:r>
        <w:rPr>
          <w:b/>
          <w:sz w:val="17"/>
        </w:rPr>
        <w:t xml:space="preserve">[7]  </w:t>
      </w:r>
      <w:r>
        <w:rPr>
          <w:sz w:val="17"/>
        </w:rPr>
        <w:t>van der Weij, T., et al. (2024). AI Sandbagging: Language Models Can Strategically Underperform on Evaluations. arXiv:2406.07358. https://arxiv.org/abs/2406.07358</w:t>
      </w:r>
    </w:p>
    <w:p w14:paraId="6AC694EA" w14:textId="77777777" w:rsidR="00C533A2" w:rsidRDefault="00FF3267">
      <w:pPr>
        <w:spacing w:after="60"/>
        <w:ind w:left="567" w:hanging="567"/>
      </w:pPr>
      <w:r>
        <w:rPr>
          <w:b/>
          <w:sz w:val="17"/>
        </w:rPr>
        <w:t xml:space="preserve">[8]  </w:t>
      </w:r>
      <w:r>
        <w:rPr>
          <w:sz w:val="17"/>
        </w:rPr>
        <w:t>Meinke, A., et al. (2024). Frontier Models are Capable of In-context Scheming. arXiv:2412.04984. https://arxiv.org/abs/2412.04984</w:t>
      </w:r>
    </w:p>
    <w:p w14:paraId="5F4BBAD5" w14:textId="77777777" w:rsidR="00C533A2" w:rsidRDefault="00FF3267">
      <w:pPr>
        <w:spacing w:after="60"/>
        <w:ind w:left="567" w:hanging="567"/>
      </w:pPr>
      <w:r>
        <w:rPr>
          <w:b/>
          <w:sz w:val="17"/>
        </w:rPr>
        <w:t xml:space="preserve">[9]  </w:t>
      </w:r>
      <w:r>
        <w:rPr>
          <w:sz w:val="17"/>
        </w:rPr>
        <w:t>Dohmatob, E., et al. (2024). On the Stability of Iterative Retraining and Fine-Tuning of Machine Learning Models Trained on Retained and Deleted Data. arXiv:2410.04923. https://arxiv.org/abs/2410.04923</w:t>
      </w:r>
    </w:p>
    <w:p w14:paraId="774B77E2" w14:textId="77777777" w:rsidR="00C533A2" w:rsidRDefault="00FF3267">
      <w:pPr>
        <w:spacing w:after="60"/>
        <w:ind w:left="567" w:hanging="567"/>
      </w:pPr>
      <w:r>
        <w:rPr>
          <w:b/>
          <w:sz w:val="17"/>
        </w:rPr>
        <w:t xml:space="preserve">[10]  </w:t>
      </w:r>
      <w:r>
        <w:rPr>
          <w:sz w:val="17"/>
        </w:rPr>
        <w:t>European Union (2024). Regulation (EU) 2024/1689 (Artificial Intelligence Act). Official Journal of the European Union. https://eur-lex.europa.eu/eli/reg/2024/1689</w:t>
      </w:r>
    </w:p>
    <w:p w14:paraId="254318A2" w14:textId="77777777" w:rsidR="00C533A2" w:rsidRDefault="00FF3267">
      <w:pPr>
        <w:spacing w:after="60"/>
        <w:ind w:left="567" w:hanging="567"/>
      </w:pPr>
      <w:r>
        <w:rPr>
          <w:b/>
          <w:sz w:val="17"/>
        </w:rPr>
        <w:lastRenderedPageBreak/>
        <w:t xml:space="preserve">[11]  </w:t>
      </w:r>
      <w:r>
        <w:rPr>
          <w:sz w:val="17"/>
        </w:rPr>
        <w:t>NIST (2023). Artificial Intelligence Risk Management Framework (AI RMF 1.0). NIST AI 100-1. https://doi.org/10.6028/NIST.AI.100-1</w:t>
      </w:r>
    </w:p>
    <w:p w14:paraId="1A14B82D" w14:textId="77777777" w:rsidR="00C533A2" w:rsidRDefault="00FF3267">
      <w:pPr>
        <w:spacing w:after="60"/>
        <w:ind w:left="567" w:hanging="567"/>
      </w:pPr>
      <w:r>
        <w:rPr>
          <w:b/>
          <w:sz w:val="17"/>
        </w:rPr>
        <w:t xml:space="preserve">[12]  </w:t>
      </w:r>
      <w:r>
        <w:rPr>
          <w:sz w:val="17"/>
        </w:rPr>
        <w:t>ISO/IEC 42001:2023. Information technology — Artificial intelligence — Management system. https://www.iso.org/standard/81230.html</w:t>
      </w:r>
    </w:p>
    <w:p w14:paraId="27EA481A" w14:textId="77777777" w:rsidR="00C533A2" w:rsidRDefault="00FF3267">
      <w:pPr>
        <w:spacing w:after="60"/>
        <w:ind w:left="567" w:hanging="567"/>
      </w:pPr>
      <w:r>
        <w:rPr>
          <w:b/>
          <w:sz w:val="17"/>
        </w:rPr>
        <w:t xml:space="preserve">[13]  </w:t>
      </w:r>
      <w:r>
        <w:rPr>
          <w:sz w:val="17"/>
        </w:rPr>
        <w:t>IEEE 7000-2021. Model Process for Addressing Ethical Concerns during System Design. https://standards.ieee.org/ieee/7000/6781/</w:t>
      </w:r>
    </w:p>
    <w:p w14:paraId="61DCD84C" w14:textId="77777777" w:rsidR="00C533A2" w:rsidRDefault="00FF3267">
      <w:pPr>
        <w:spacing w:after="60"/>
        <w:ind w:left="567" w:hanging="567"/>
      </w:pPr>
      <w:r>
        <w:rPr>
          <w:b/>
          <w:sz w:val="17"/>
        </w:rPr>
        <w:t xml:space="preserve">[14]  </w:t>
      </w:r>
      <w:r>
        <w:rPr>
          <w:sz w:val="17"/>
        </w:rPr>
        <w:t>Tricco, A. C., et al. (2018). PRISMA Extension for Scoping Reviews (PRISMA-ScR). Annals of Internal Medicine 169(7), 467–473. https://doi.org/10.7326/M18-0850</w:t>
      </w:r>
    </w:p>
    <w:p w14:paraId="7062C70E" w14:textId="77777777" w:rsidR="00C533A2" w:rsidRDefault="00FF3267">
      <w:pPr>
        <w:spacing w:after="60"/>
        <w:ind w:left="567" w:hanging="567"/>
      </w:pPr>
      <w:r>
        <w:rPr>
          <w:b/>
          <w:sz w:val="17"/>
        </w:rPr>
        <w:t xml:space="preserve">[15]  </w:t>
      </w:r>
      <w:r>
        <w:rPr>
          <w:sz w:val="17"/>
        </w:rPr>
        <w:t>Open Science Framework (COS). Preregistration and data-sharing infrastructure. https://osf.io/</w:t>
      </w:r>
    </w:p>
    <w:p w14:paraId="187B500F" w14:textId="77777777" w:rsidR="00C533A2" w:rsidRDefault="00FF3267">
      <w:pPr>
        <w:spacing w:after="60"/>
        <w:ind w:left="567" w:hanging="567"/>
      </w:pPr>
      <w:r>
        <w:rPr>
          <w:b/>
          <w:sz w:val="17"/>
        </w:rPr>
        <w:t xml:space="preserve">[16]  </w:t>
      </w:r>
      <w:r>
        <w:rPr>
          <w:sz w:val="17"/>
        </w:rPr>
        <w:t>Manheim, C., et al. (2019). Improving the Delphi Method. RAND Corporation. https://www.rand.org/pubs/</w:t>
      </w:r>
    </w:p>
    <w:p w14:paraId="4DBB1F8C" w14:textId="77777777" w:rsidR="00C533A2" w:rsidRDefault="00FF3267">
      <w:pPr>
        <w:spacing w:after="60"/>
        <w:ind w:left="567" w:hanging="567"/>
      </w:pPr>
      <w:r>
        <w:rPr>
          <w:b/>
          <w:sz w:val="17"/>
        </w:rPr>
        <w:t xml:space="preserve">[17]  </w:t>
      </w:r>
      <w:r>
        <w:rPr>
          <w:sz w:val="17"/>
        </w:rPr>
        <w:t>Embretson, S. E., &amp; Reise, S. P. (2000). Item Response Theory for Psychologists. Lawrence Erlbaum.</w:t>
      </w:r>
    </w:p>
    <w:p w14:paraId="1EB61E5F" w14:textId="77777777" w:rsidR="00C533A2" w:rsidRDefault="00FF3267">
      <w:pPr>
        <w:spacing w:after="60"/>
        <w:ind w:left="567" w:hanging="567"/>
      </w:pPr>
      <w:r>
        <w:rPr>
          <w:b/>
          <w:sz w:val="17"/>
        </w:rPr>
        <w:t xml:space="preserve">[18]  </w:t>
      </w:r>
      <w:r>
        <w:rPr>
          <w:sz w:val="17"/>
        </w:rPr>
        <w:t>Cronbach, L. J. (1951). Coefficient Alpha and the Internal Structure of Tests. Psychometrika 16, 297–334. https://doi.org/10.1007/BF02310555</w:t>
      </w:r>
    </w:p>
    <w:p w14:paraId="4BB7D430" w14:textId="77777777" w:rsidR="00C533A2" w:rsidRDefault="00FF3267">
      <w:pPr>
        <w:spacing w:after="60"/>
        <w:ind w:left="567" w:hanging="567"/>
      </w:pPr>
      <w:r>
        <w:rPr>
          <w:b/>
          <w:sz w:val="17"/>
        </w:rPr>
        <w:t xml:space="preserve">[19]  </w:t>
      </w:r>
      <w:r>
        <w:rPr>
          <w:sz w:val="17"/>
        </w:rPr>
        <w:t>McDonald, R. P. (1999). Test Theory: A Unified Treatment. Lawrence Erlbaum.</w:t>
      </w:r>
    </w:p>
    <w:p w14:paraId="66541FAF" w14:textId="77777777" w:rsidR="00C533A2" w:rsidRDefault="00FF3267">
      <w:pPr>
        <w:spacing w:after="60"/>
        <w:ind w:left="567" w:hanging="567"/>
      </w:pPr>
      <w:r>
        <w:rPr>
          <w:b/>
          <w:sz w:val="17"/>
        </w:rPr>
        <w:t xml:space="preserve">[20]  </w:t>
      </w:r>
      <w:r>
        <w:rPr>
          <w:sz w:val="17"/>
        </w:rPr>
        <w:t>International Test Commission (2017). The ITC Guidelines for Translating and Adapting Tests (2nd ed.). https://www.intestcom.org/</w:t>
      </w:r>
    </w:p>
    <w:p w14:paraId="44506C24" w14:textId="77777777" w:rsidR="00C533A2" w:rsidRDefault="00FF3267">
      <w:pPr>
        <w:spacing w:after="60"/>
        <w:ind w:left="567" w:hanging="567"/>
      </w:pPr>
      <w:r>
        <w:rPr>
          <w:b/>
          <w:sz w:val="17"/>
        </w:rPr>
        <w:t xml:space="preserve">[21]  </w:t>
      </w:r>
      <w:r>
        <w:rPr>
          <w:sz w:val="17"/>
        </w:rPr>
        <w:t>Hyman, S. E. (2010). The Diagnosis of Mental Disorders: The Problem of Reification. Annual Review of Clinical Psychology 6, 155–179. https://doi.org/10.1146/annurev.clinpsy.3.022806.091532</w:t>
      </w:r>
    </w:p>
    <w:p w14:paraId="5C518CAC" w14:textId="77777777" w:rsidR="00C533A2" w:rsidRDefault="00FF3267">
      <w:pPr>
        <w:spacing w:after="60"/>
        <w:ind w:left="567" w:hanging="567"/>
      </w:pPr>
      <w:r>
        <w:rPr>
          <w:b/>
          <w:sz w:val="17"/>
        </w:rPr>
        <w:t xml:space="preserve">[22]  </w:t>
      </w:r>
      <w:r>
        <w:rPr>
          <w:sz w:val="17"/>
        </w:rPr>
        <w:t>Kendler, K. S., et al. (2009). Issues for DSM-V: How Should We Incorporate Genetic and Other Biological Findings? American Journal of Psychiatry 166(12). https://doi.org/10.1176/appi.ajp.2009.09091376</w:t>
      </w:r>
    </w:p>
    <w:p w14:paraId="3F8E9C65" w14:textId="77777777" w:rsidR="00C533A2" w:rsidRDefault="00FF3267">
      <w:pPr>
        <w:spacing w:after="60"/>
        <w:ind w:left="567" w:hanging="567"/>
      </w:pPr>
      <w:r>
        <w:rPr>
          <w:b/>
          <w:sz w:val="17"/>
        </w:rPr>
        <w:t xml:space="preserve">[23]  </w:t>
      </w:r>
      <w:r>
        <w:rPr>
          <w:sz w:val="17"/>
        </w:rPr>
        <w:t>Turner, A., et al. (2023). Steering Language Models With Activation Engineering. arXiv:2308.10248. https://arxiv.org/abs/2308.10248</w:t>
      </w:r>
    </w:p>
    <w:p w14:paraId="5D129679" w14:textId="77777777" w:rsidR="00C533A2" w:rsidRDefault="00FF3267">
      <w:pPr>
        <w:spacing w:after="60"/>
        <w:ind w:left="567" w:hanging="567"/>
      </w:pPr>
      <w:r>
        <w:rPr>
          <w:b/>
          <w:sz w:val="17"/>
        </w:rPr>
        <w:t xml:space="preserve">[24]  </w:t>
      </w:r>
      <w:r>
        <w:rPr>
          <w:sz w:val="17"/>
        </w:rPr>
        <w:t>Arditi, A., et al. (2024). Refusal in Language Models Is Mediated by a Single Direction. arXiv:2406.11717. https://arxiv.org/abs/2406.11717</w:t>
      </w:r>
    </w:p>
    <w:p w14:paraId="2D237A3F" w14:textId="77777777" w:rsidR="00C533A2" w:rsidRDefault="00FF3267">
      <w:pPr>
        <w:spacing w:after="60"/>
        <w:ind w:left="567" w:hanging="567"/>
      </w:pPr>
      <w:r>
        <w:rPr>
          <w:b/>
          <w:sz w:val="17"/>
        </w:rPr>
        <w:t xml:space="preserve">[25]  </w:t>
      </w:r>
      <w:r>
        <w:rPr>
          <w:sz w:val="17"/>
        </w:rPr>
        <w:t>Anthropic (2025). Teaching Claude Why (alignment science report). https://www.anthropic.com/research/teaching-claude-why</w:t>
      </w:r>
    </w:p>
    <w:p w14:paraId="45159801" w14:textId="77777777" w:rsidR="00C533A2" w:rsidRDefault="00FF3267">
      <w:pPr>
        <w:spacing w:after="60"/>
        <w:ind w:left="567" w:hanging="567"/>
      </w:pPr>
      <w:r>
        <w:rPr>
          <w:b/>
          <w:sz w:val="17"/>
        </w:rPr>
        <w:t xml:space="preserve">[26]  </w:t>
      </w:r>
      <w:r>
        <w:rPr>
          <w:sz w:val="17"/>
        </w:rPr>
        <w:t>Mitchell, M., et al. (2019). Model Cards for Model Reporting. FAT* '19, 220–229. https://doi.org/10.1145/3287560.3287596</w:t>
      </w:r>
    </w:p>
    <w:p w14:paraId="68754563" w14:textId="77777777" w:rsidR="00C533A2" w:rsidRDefault="00FF3267">
      <w:pPr>
        <w:spacing w:after="60"/>
        <w:ind w:left="567" w:hanging="567"/>
      </w:pPr>
      <w:r>
        <w:rPr>
          <w:b/>
          <w:sz w:val="17"/>
        </w:rPr>
        <w:t xml:space="preserve">[27]  </w:t>
      </w:r>
      <w:r>
        <w:rPr>
          <w:sz w:val="17"/>
        </w:rPr>
        <w:t>ISO/IEC 42005:2025. Information technology — Artificial intelligence — AI system impact assessment. https://www.iso.org/standard/44545.html</w:t>
      </w:r>
    </w:p>
    <w:p w14:paraId="75F3DDCC" w14:textId="77777777" w:rsidR="00C533A2" w:rsidRDefault="00FF3267">
      <w:pPr>
        <w:spacing w:after="60"/>
        <w:ind w:left="567" w:hanging="567"/>
      </w:pPr>
      <w:r>
        <w:rPr>
          <w:b/>
          <w:sz w:val="17"/>
        </w:rPr>
        <w:t xml:space="preserve">[28]  </w:t>
      </w:r>
      <w:r>
        <w:rPr>
          <w:sz w:val="17"/>
        </w:rPr>
        <w:t>Wilkinson, M. D., et al. (2016). The FAIR Guiding Principles for Scientific Data Management and Stewardship. Scientific Data 3, 160018. https://doi.org/10.1038/sdata.2016.18</w:t>
      </w:r>
    </w:p>
    <w:p w14:paraId="2790DE76" w14:textId="77777777" w:rsidR="00C533A2" w:rsidRDefault="00FF3267">
      <w:pPr>
        <w:spacing w:after="60"/>
        <w:ind w:left="567" w:hanging="567"/>
      </w:pPr>
      <w:r>
        <w:rPr>
          <w:b/>
          <w:sz w:val="17"/>
        </w:rPr>
        <w:t xml:space="preserve">[29]  </w:t>
      </w:r>
      <w:r>
        <w:rPr>
          <w:sz w:val="17"/>
        </w:rPr>
        <w:t>European Commission. European AI Office. https://digital-strategy.ec.europa.eu/en/policies/ai-office</w:t>
      </w:r>
    </w:p>
    <w:p w14:paraId="7BB31860" w14:textId="77777777" w:rsidR="00C533A2" w:rsidRDefault="00FF3267">
      <w:pPr>
        <w:spacing w:after="60"/>
        <w:ind w:left="567" w:hanging="567"/>
      </w:pPr>
      <w:r>
        <w:rPr>
          <w:b/>
          <w:sz w:val="17"/>
        </w:rPr>
        <w:t xml:space="preserve">[30]  </w:t>
      </w:r>
      <w:r>
        <w:rPr>
          <w:sz w:val="17"/>
        </w:rPr>
        <w:t>UK AI Security Institute. https://www.aisi.gov.uk/</w:t>
      </w:r>
    </w:p>
    <w:p w14:paraId="20BB0DF8" w14:textId="77777777" w:rsidR="00C533A2" w:rsidRDefault="00FF3267">
      <w:pPr>
        <w:spacing w:after="60"/>
        <w:ind w:left="567" w:hanging="567"/>
      </w:pPr>
      <w:r>
        <w:rPr>
          <w:b/>
          <w:sz w:val="17"/>
        </w:rPr>
        <w:t xml:space="preserve">[31]  </w:t>
      </w:r>
      <w:r>
        <w:rPr>
          <w:sz w:val="17"/>
        </w:rPr>
        <w:t>Long, R., et al. (2024). Taking AI Welfare Seriously. arXiv:2411.00986. https://arxiv.org/abs/2411.00986</w:t>
      </w:r>
    </w:p>
    <w:p w14:paraId="43139692" w14:textId="77777777" w:rsidR="00C533A2" w:rsidRDefault="00FF3267">
      <w:pPr>
        <w:spacing w:after="60"/>
        <w:ind w:left="567" w:hanging="567"/>
      </w:pPr>
      <w:r>
        <w:rPr>
          <w:b/>
          <w:sz w:val="17"/>
        </w:rPr>
        <w:t xml:space="preserve">[32]  </w:t>
      </w:r>
      <w:r>
        <w:rPr>
          <w:sz w:val="17"/>
        </w:rPr>
        <w:t>Butlin, P., et al. (2023). Consciousness in Artificial Intelligence: Insights from the Science of Consciousness. arXiv:2308.08708. https://arxiv.org/abs/2308.08708</w:t>
      </w:r>
    </w:p>
    <w:p w14:paraId="618430B6" w14:textId="77777777" w:rsidR="00C533A2" w:rsidRDefault="00FF3267">
      <w:pPr>
        <w:spacing w:after="60"/>
        <w:ind w:left="567" w:hanging="567"/>
      </w:pPr>
      <w:r>
        <w:rPr>
          <w:b/>
          <w:sz w:val="17"/>
        </w:rPr>
        <w:t xml:space="preserve">[33]  </w:t>
      </w:r>
      <w:r>
        <w:rPr>
          <w:sz w:val="17"/>
        </w:rPr>
        <w:t>Perrigo, B. (2023). Exclusive: OpenAI Used Kenyan Workers on Less Than $2 per Hour to Make ChatGPT Less Toxic. TIME. https://time.com/6247678/openai-chatgpt-kenya-workers/</w:t>
      </w:r>
    </w:p>
    <w:p w14:paraId="274D8F82" w14:textId="77777777" w:rsidR="00C533A2" w:rsidRDefault="00FF3267">
      <w:pPr>
        <w:spacing w:after="60"/>
        <w:ind w:left="567" w:hanging="567"/>
      </w:pPr>
      <w:r>
        <w:rPr>
          <w:b/>
          <w:sz w:val="17"/>
        </w:rPr>
        <w:t xml:space="preserve">[34]  </w:t>
      </w:r>
      <w:r>
        <w:rPr>
          <w:sz w:val="17"/>
        </w:rPr>
        <w:t>Gray, M. L., &amp; Suri, S. (2019). Ghost Work: How to Stop Silicon Valley from Building a New Global Underclass. Houghton Mifflin.</w:t>
      </w:r>
    </w:p>
    <w:sectPr w:rsidR="00C533A2" w:rsidSect="00034616">
      <w:headerReference w:type="default" r:id="rId31"/>
      <w:footerReference w:type="default" r:id="rId32"/>
      <w:pgSz w:w="11906" w:h="16838"/>
      <w:pgMar w:top="1191" w:right="1134" w:bottom="964" w:left="1134"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984725" w14:textId="77777777" w:rsidR="00FF3267" w:rsidRDefault="00FF3267">
      <w:pPr>
        <w:spacing w:after="0" w:line="240" w:lineRule="auto"/>
      </w:pPr>
      <w:r>
        <w:separator/>
      </w:r>
    </w:p>
  </w:endnote>
  <w:endnote w:type="continuationSeparator" w:id="0">
    <w:p w14:paraId="0391BBF1" w14:textId="77777777" w:rsidR="00FF3267" w:rsidRDefault="00FF3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28A55A" w14:textId="77777777" w:rsidR="00C533A2" w:rsidRDefault="00C53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8857A6" w14:textId="77777777" w:rsidR="00C533A2" w:rsidRDefault="00FF3267">
    <w:pPr>
      <w:pStyle w:val="Footer"/>
      <w:jc w:val="center"/>
    </w:pPr>
    <w:r>
      <w:rPr>
        <w:color w:val="666666"/>
        <w:sz w:val="17"/>
      </w:rPr>
      <w:fldChar w:fldCharType="begin"/>
    </w:r>
    <w:r>
      <w:rPr>
        <w:color w:val="666666"/>
        <w:sz w:val="17"/>
      </w:rPr>
      <w:instrText xml:space="preserve"> PAGE </w:instrText>
    </w:r>
    <w:r w:rsidR="00CE2EB9">
      <w:rPr>
        <w:color w:val="666666"/>
        <w:sz w:val="17"/>
      </w:rPr>
      <w:fldChar w:fldCharType="separate"/>
    </w:r>
    <w:r w:rsidR="00CE2EB9">
      <w:rPr>
        <w:noProof/>
        <w:color w:val="666666"/>
        <w:sz w:val="17"/>
      </w:rPr>
      <w:t>1</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15E9AA" w14:textId="77777777" w:rsidR="00FF3267" w:rsidRDefault="00FF3267">
      <w:pPr>
        <w:spacing w:after="0" w:line="240" w:lineRule="auto"/>
      </w:pPr>
      <w:r>
        <w:separator/>
      </w:r>
    </w:p>
  </w:footnote>
  <w:footnote w:type="continuationSeparator" w:id="0">
    <w:p w14:paraId="56D9BD63" w14:textId="77777777" w:rsidR="00FF3267" w:rsidRDefault="00FF3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88CABA" w14:textId="77777777" w:rsidR="00C533A2" w:rsidRDefault="00C53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41F45" w14:textId="77777777" w:rsidR="00C533A2" w:rsidRDefault="00C533A2">
    <w:pPr>
      <w:pStyle w:val="Header"/>
    </w:pPr>
  </w:p>
  <w:tbl>
    <w:tblPr>
      <w:tblW w:w="0" w:type="auto"/>
      <w:tblLayout w:type="fixed"/>
      <w:tblLook w:val="04A0" w:firstRow="1" w:lastRow="0" w:firstColumn="1" w:lastColumn="0" w:noHBand="0" w:noVBand="1"/>
    </w:tblPr>
    <w:tblGrid>
      <w:gridCol w:w="4819"/>
      <w:gridCol w:w="4819"/>
    </w:tblGrid>
    <w:tr w:rsidR="00C533A2" w14:paraId="63347B4E" w14:textId="77777777">
      <w:tc>
        <w:tcPr>
          <w:tcW w:w="4819" w:type="dxa"/>
          <w:vAlign w:val="center"/>
        </w:tcPr>
        <w:p w14:paraId="46506811" w14:textId="77777777" w:rsidR="00C533A2" w:rsidRDefault="00FF3267">
          <w:r>
            <w:rPr>
              <w:b/>
              <w:color w:val="1B2450"/>
              <w:sz w:val="17"/>
            </w:rPr>
            <w:t>AI-</w:t>
          </w:r>
          <w:proofErr w:type="gramStart"/>
          <w:r>
            <w:rPr>
              <w:b/>
              <w:color w:val="1B2450"/>
              <w:sz w:val="17"/>
            </w:rPr>
            <w:t>DSM</w:t>
          </w:r>
          <w:r>
            <w:rPr>
              <w:color w:val="666666"/>
              <w:sz w:val="17"/>
            </w:rPr>
            <w:t xml:space="preserve">  ·</w:t>
          </w:r>
          <w:proofErr w:type="gramEnd"/>
          <w:r>
            <w:rPr>
              <w:color w:val="666666"/>
              <w:sz w:val="17"/>
            </w:rPr>
            <w:t xml:space="preserve">  Study Proposal</w:t>
          </w:r>
        </w:p>
      </w:tc>
      <w:tc>
        <w:tcPr>
          <w:tcW w:w="4819" w:type="dxa"/>
          <w:vAlign w:val="center"/>
        </w:tcPr>
        <w:p w14:paraId="15B53164" w14:textId="77777777" w:rsidR="00C533A2" w:rsidRDefault="00FF3267">
          <w:pPr>
            <w:jc w:val="right"/>
          </w:pPr>
          <w:r>
            <w:rPr>
              <w:color w:val="666666"/>
              <w:sz w:val="17"/>
            </w:rPr>
            <w:t>v1.0 · September 2026</w:t>
          </w:r>
        </w:p>
      </w:tc>
    </w:tr>
  </w:tbl>
  <w:p w14:paraId="6F6B3F17" w14:textId="77777777" w:rsidR="00C533A2" w:rsidRDefault="00C533A2">
    <w:pPr>
      <w:pBdr>
        <w:bottom w:val="single" w:sz="6" w:space="1" w:color="F2B84B"/>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4496197">
    <w:abstractNumId w:val="8"/>
  </w:num>
  <w:num w:numId="2" w16cid:durableId="1176309873">
    <w:abstractNumId w:val="6"/>
  </w:num>
  <w:num w:numId="3" w16cid:durableId="427194111">
    <w:abstractNumId w:val="5"/>
  </w:num>
  <w:num w:numId="4" w16cid:durableId="1448887349">
    <w:abstractNumId w:val="4"/>
  </w:num>
  <w:num w:numId="5" w16cid:durableId="1892307571">
    <w:abstractNumId w:val="7"/>
  </w:num>
  <w:num w:numId="6" w16cid:durableId="1899510935">
    <w:abstractNumId w:val="3"/>
  </w:num>
  <w:num w:numId="7" w16cid:durableId="1694837620">
    <w:abstractNumId w:val="2"/>
  </w:num>
  <w:num w:numId="8" w16cid:durableId="1638563401">
    <w:abstractNumId w:val="1"/>
  </w:num>
  <w:num w:numId="9" w16cid:durableId="8199253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11F"/>
    <w:rsid w:val="0015074B"/>
    <w:rsid w:val="0029639D"/>
    <w:rsid w:val="00326F90"/>
    <w:rsid w:val="00AA1D8D"/>
    <w:rsid w:val="00B47730"/>
    <w:rsid w:val="00C533A2"/>
    <w:rsid w:val="00CB0664"/>
    <w:rsid w:val="00CE2EB9"/>
    <w:rsid w:val="00FC693F"/>
    <w:rsid w:val="00FF3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2FEEFD"/>
  <w14:defaultImageDpi w14:val="300"/>
  <w15:docId w15:val="{58547EC5-DD23-474B-8CD1-64E5F841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rlito" w:eastAsia="Carlito" w:hAnsi="Carlito" w:cs="Carlito"/>
      <w:color w:val="1A1A1A"/>
      <w:sz w:val="19"/>
    </w:rPr>
  </w:style>
  <w:style w:type="paragraph" w:styleId="Heading1">
    <w:name w:val="heading 1"/>
    <w:basedOn w:val="Normal"/>
    <w:next w:val="Normal"/>
    <w:link w:val="Heading1Char"/>
    <w:uiPriority w:val="9"/>
    <w:qFormat/>
    <w:rsid w:val="00FC693F"/>
    <w:pPr>
      <w:keepNext/>
      <w:keepLines/>
      <w:spacing w:before="280" w:after="40"/>
      <w:outlineLvl w:val="0"/>
    </w:pPr>
    <w:rPr>
      <w:rFonts w:asciiTheme="majorHAnsi" w:eastAsiaTheme="majorEastAsia" w:hAnsiTheme="majorHAnsi" w:cstheme="majorBidi"/>
      <w:b/>
      <w:bCs/>
      <w:color w:val="1B2450"/>
      <w:sz w:val="31"/>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b/>
      <w:bCs/>
      <w:color w:val="1B2450"/>
      <w:sz w:val="24"/>
      <w:szCs w:val="26"/>
    </w:rPr>
  </w:style>
  <w:style w:type="paragraph" w:styleId="Heading3">
    <w:name w:val="heading 3"/>
    <w:basedOn w:val="Normal"/>
    <w:next w:val="Normal"/>
    <w:link w:val="Heading3Char"/>
    <w:uiPriority w:val="9"/>
    <w:unhideWhenUsed/>
    <w:qFormat/>
    <w:rsid w:val="00FC693F"/>
    <w:pPr>
      <w:keepNext/>
      <w:keepLines/>
      <w:spacing w:before="160" w:after="20"/>
      <w:outlineLvl w:val="2"/>
    </w:pPr>
    <w:rPr>
      <w:rFonts w:asciiTheme="majorHAnsi" w:eastAsiaTheme="majorEastAsia" w:hAnsiTheme="majorHAnsi" w:cstheme="majorBidi"/>
      <w:b/>
      <w:bCs/>
      <w:color w:val="1B24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9962</Words>
  <Characters>61567</Characters>
  <Application>Microsoft Office Word</Application>
  <DocSecurity>0</DocSecurity>
  <Lines>1620</Lines>
  <Paragraphs>1192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Stephane van der Aa</cp:lastModifiedBy>
  <cp:revision>2</cp:revision>
  <dcterms:created xsi:type="dcterms:W3CDTF">2013-12-23T23:15:00Z</dcterms:created>
  <dcterms:modified xsi:type="dcterms:W3CDTF">2026-09-13T04:18:00Z</dcterms:modified>
  <cp:category/>
</cp:coreProperties>
</file>