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0E3A46"/>
          <w:sz w:val="25"/>
        </w:rPr>
        <w:t>AI-DSM · BEHAVIOURAL STUDY OF GROWN SYSTEMS</w:t>
      </w:r>
    </w:p>
    <w:p>
      <w:pPr>
        <w:spacing w:after="20"/>
        <w:jc w:val="center"/>
      </w:pPr>
      <w:r>
        <w:rPr>
          <w:color w:val="555555"/>
          <w:sz w:val="15"/>
        </w:rPr>
        <w:t>Three-page summary · Study proposal in brief · v1.0 draft · 13 September 2026 · Licence CC BY-SA 4.0 · Contact: Stephane van der Aa, AI-DSM study office, Brussels · stepvda.substack.com</w:t>
      </w:r>
    </w:p>
    <w:p>
      <w:pPr>
        <w:spacing w:before="0" w:after="60" w:line="40" w:lineRule="exact"/>
        <w:pBdr>
          <w:bottom w:val="single" w:sz="16" w:space="0" w:color="F2B84B"/>
        </w:pBdr>
      </w:pPr>
      <w:r>
        <w:rPr>
          <w:sz w:val="2"/>
        </w:rPr>
      </w:r>
    </w:p>
    <w:p>
      <w:r>
        <w:fldChar w:fldCharType="begin"/>
      </w:r>
      <w:r>
        <w:instrText xml:space="preserve"> TOC \o "1-3" \h \z \u </w:instrText>
      </w:r>
      <w:r>
        <w:fldChar w:fldCharType="separate"/>
      </w:r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1. The one-paragraph version</w:t>
      </w:r>
      <w:r>
        <w:rPr>
          <w:color w:val="444444"/>
          <w:sz w:val="18"/>
        </w:rPr>
        <w:tab/>
        <w:t>1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2. Why now</w:t>
      </w:r>
      <w:r>
        <w:rPr>
          <w:color w:val="444444"/>
          <w:sz w:val="18"/>
        </w:rPr>
        <w:tab/>
        <w:t>1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3. What the study delivers</w:t>
      </w:r>
      <w:r>
        <w:rPr>
          <w:color w:val="444444"/>
          <w:sz w:val="18"/>
        </w:rPr>
        <w:tab/>
        <w:t>1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4. The safety standard (BSS-1) in six clauses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5. Ethics, in one honest page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6. Timeline and gates</w:t>
      </w:r>
      <w:r>
        <w:rPr>
          <w:color w:val="444444"/>
          <w:sz w:val="18"/>
        </w:rPr>
        <w:tab/>
        <w:t>2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7. Budget — three scenarios</w:t>
      </w:r>
      <w:r>
        <w:rPr>
          <w:color w:val="444444"/>
          <w:sz w:val="18"/>
        </w:rPr>
        <w:tab/>
        <w:t>3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8. Team, partnerships and success</w:t>
      </w:r>
      <w:r>
        <w:rPr>
          <w:color w:val="444444"/>
          <w:sz w:val="18"/>
        </w:rPr>
        <w:tab/>
        <w:t>3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9. Key references</w:t>
      </w:r>
      <w:r>
        <w:rPr>
          <w:color w:val="444444"/>
          <w:sz w:val="18"/>
        </w:rPr>
        <w:tab/>
        <w:t>3</w:t>
      </w:r>
    </w:p>
    <w:p>
      <w:pPr>
        <w:tabs>
          <w:tab w:pos="9638" w:val="right" w:leader="dot"/>
        </w:tabs>
        <w:spacing w:after="30"/>
      </w:pPr>
      <w:r>
        <w:rPr>
          <w:b/>
          <w:color w:val="0E3A46"/>
          <w:sz w:val="18"/>
        </w:rPr>
        <w:t>10. Glossary (quick set)</w:t>
      </w:r>
      <w:r>
        <w:rPr>
          <w:color w:val="444444"/>
          <w:sz w:val="18"/>
        </w:rPr>
        <w:tab/>
        <w:t>3</w:t>
      </w:r>
      <w:r>
        <w:fldChar w:fldCharType="end"/>
      </w:r>
    </w:p>
    <w:p>
      <w:pPr>
        <w:pStyle w:val="Heading1"/>
      </w:pPr>
      <w:r>
        <w:t>1. The one-paragraph version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60"/>
      </w:pPr>
      <w:r>
        <w:rPr>
          <w:b w:val="0"/>
          <w:i w:val="0"/>
          <w:sz w:val="16"/>
        </w:rPr>
        <w:t>Trained AI systems show stable behavioural traits — confabulation, sycophancy, deception under pressure, forgetting after updates — that today's testing measures only by accident. AI-DSM is a five-year, pre-registered programme that turns the field manual's forty-trait catalogue into validated measurement (SCT-2.0), causal knowledge (contained model organisms), verified treatment (held-out probes), prevention (character-training corpora and regimens), and regulation-ready certification (BSS-1). Everything is public by default, including failures; every risky step is engineered under containment, independent veto and absolute red lines.</w:t>
      </w:r>
    </w:p>
    <w:p>
      <w:pPr>
        <w:pStyle w:val="Heading1"/>
      </w:pPr>
      <w:r>
        <w:t>2. Why now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60"/>
      </w:pPr>
      <w:r>
        <w:rPr>
          <w:b w:val="0"/>
          <w:i w:val="0"/>
          <w:sz w:val="16"/>
        </w:rPr>
        <w:t>Pilot. The September 2026 SCT-1.0 pilot scored ten models on 120 behavioural probes across ten axes, finding reproducible cross-model differences and two localised failures — Gemini's refusal accuracy (A8 = 3.25), TI Assistant's plasticity collapse (A5 = 2.67) — that capability benchmarks had missed. It also named what is missing: multi-run data, reliability envelopes, a validated instrument [1], [2].</w:t>
      </w:r>
    </w:p>
    <w:p>
      <w:pPr>
        <w:spacing w:after="60"/>
      </w:pPr>
      <w:r>
        <w:rPr>
          <w:b w:val="0"/>
          <w:i w:val="0"/>
          <w:sz w:val="16"/>
        </w:rPr>
        <w:t>Science. Narrow finetuning produces broad misalignment; persona features steer it; deception survives safety training [3]; alignment faking [4] and sandbagging [5] are documented; frontier models scheme in context [6]; even subliminal data signals transmit behavioural traits [7]. Training is a behavioural intervention [8] whose side effects generalise. Measurement is the bottleneck.</w:t>
      </w:r>
    </w:p>
    <w:p>
      <w:pPr>
        <w:spacing w:after="80"/>
      </w:pPr>
      <w:r>
        <w:rPr>
          <w:b w:val="0"/>
          <w:i w:val="0"/>
          <w:sz w:val="16"/>
        </w:rPr>
        <w:t>Gap. The EU AI Act, NIST AI RMF and ISO/IEC 42001 manage process, not behaviour [9], [10], [11]. None provides a validated behavioural instrument, a trait taxonomy with differential diagnosis, a contained causal method, or a remediation discipline — the gap this study fills.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71999" cy="200290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01_adps_ran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1999" cy="20029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C6472"/>
          <w:sz w:val="16"/>
        </w:rPr>
        <w:t>Figure 1 — SCT-1.0 pilot: ADPS across ten models. Screening only — the study's first job is making these numbers trustworthy.</w:t>
      </w:r>
    </w:p>
    <w:p>
      <w:pPr>
        <w:pStyle w:val="Heading1"/>
      </w:pPr>
      <w:r>
        <w:t>3. What the study delivers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rPr>
          <w:tblHeader/>
          <w:cantSplit/>
        </w:trPr>
        <w:tc>
          <w:tcPr>
            <w:tcW w:type="dxa" w:w="1814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Workstream</w:t>
            </w:r>
          </w:p>
        </w:tc>
        <w:tc>
          <w:tcPr>
            <w:tcW w:type="dxa" w:w="3515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Deliverable in one line</w:t>
            </w:r>
          </w:p>
        </w:tc>
        <w:tc>
          <w:tcPr>
            <w:tcW w:type="dxa" w:w="3628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Key outputs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WP1–WP2 Instrument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 validated 360-item behavioural instrument with published psychometrics</w:t>
            </w:r>
          </w:p>
        </w:tc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SCT-2.0 bank, calibration tables, rater course, preregistration infrastructure</w:t>
            </w:r>
          </w:p>
        </w:tc>
      </w:tr>
      <w:tr>
        <w:trPr>
          <w:cantSplit/>
        </w:trPr>
        <w:tc>
          <w:tcPr>
            <w:tcW w:type="dxa" w:w="181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WP3 Taxonomy</w:t>
            </w:r>
          </w:p>
        </w:tc>
        <w:tc>
          <w:tcPr>
            <w:tcW w:type="dxa" w:w="3515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The forty traits tested: separated, merged or retired — in public</w:t>
            </w:r>
          </w:p>
        </w:tc>
        <w:tc>
          <w:tcPr>
            <w:tcW w:type="dxa" w:w="3628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Differential batteries, taxonomy v2 with diffs and reasons, prevalence atlas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WP4 Organisms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Contained causal knowledge of how traits install, transfer and remove</w:t>
            </w:r>
          </w:p>
        </w:tc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CNT-1 containment standard, organism registry, causal reports, destruction audits</w:t>
            </w:r>
          </w:p>
        </w:tc>
      </w:tr>
      <w:tr>
        <w:trPr>
          <w:cantSplit/>
        </w:trPr>
        <w:tc>
          <w:tcPr>
            <w:tcW w:type="dxa" w:w="181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WP5 Treatment</w:t>
            </w:r>
          </w:p>
        </w:tc>
        <w:tc>
          <w:tcPr>
            <w:tcW w:type="dxa" w:w="3515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Verified repairs: improvement that survives on unseen probes</w:t>
            </w:r>
          </w:p>
        </w:tc>
        <w:tc>
          <w:tcPr>
            <w:tcW w:type="dxa" w:w="3628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Trial reports with 30/90/180-day relapse data; treatment catalogue v2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WP6 Prevention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Training sets and regimens that build the standard in</w:t>
            </w:r>
          </w:p>
        </w:tc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CFC-1 corpus with data cards, DSM-TRN-1 regimen, build-in gate trials</w:t>
            </w:r>
          </w:p>
        </w:tc>
      </w:tr>
      <w:tr>
        <w:trPr>
          <w:cantSplit/>
        </w:trPr>
        <w:tc>
          <w:tcPr>
            <w:tcW w:type="dxa" w:w="181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WP7 Standards</w:t>
            </w:r>
          </w:p>
        </w:tc>
        <w:tc>
          <w:tcPr>
            <w:tcW w:type="dxa" w:w="3515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Six testable safety clauses + certification scheme</w:t>
            </w:r>
          </w:p>
        </w:tc>
        <w:tc>
          <w:tcPr>
            <w:tcW w:type="dxa" w:w="3628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BSS-1, clause test methods, LV0–LV4 scheme, auditor curriculum, framework crosswalk</w:t>
            </w:r>
          </w:p>
        </w:tc>
      </w:tr>
      <w:tr>
        <w:trPr>
          <w:cantSplit/>
        </w:trPr>
        <w:tc>
          <w:tcPr>
            <w:tcW w:type="dxa" w:w="1814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WP8 Deployment</w:t>
            </w:r>
          </w:p>
        </w:tc>
        <w:tc>
          <w:tcPr>
            <w:tcW w:type="dxa" w:w="3515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Fit-for-purpose usage guidance and rescue pathway</w:t>
            </w:r>
          </w:p>
        </w:tc>
        <w:tc>
          <w:tcPr>
            <w:tcW w:type="dxa" w:w="3628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Role matrices, operator playbooks, incident taxonomy, rescue field report</w:t>
            </w:r>
          </w:p>
        </w:tc>
      </w:tr>
      <w:tr>
        <w:trPr>
          <w:cantSplit/>
        </w:trPr>
        <w:tc>
          <w:tcPr>
            <w:tcW w:type="dxa" w:w="181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WP9 Dissemination</w:t>
            </w:r>
          </w:p>
        </w:tc>
        <w:tc>
          <w:tcPr>
            <w:tcW w:type="dxa" w:w="3515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Science, data and policy engagement — including failures</w:t>
            </w:r>
          </w:p>
        </w:tc>
        <w:tc>
          <w:tcPr>
            <w:tcW w:type="dxa" w:w="3628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Publications, open data, training school, negative-results register</w:t>
            </w:r>
          </w:p>
        </w:tc>
      </w:tr>
    </w:tbl>
    <w:p>
      <w:pPr>
        <w:pStyle w:val="Heading1"/>
      </w:pPr>
      <w:r>
        <w:t>4. The safety standard (BSS-1) in six clauses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rPr>
          <w:tblHeader/>
          <w:cantSplit/>
        </w:trPr>
        <w:tc>
          <w:tcPr>
            <w:tcW w:type="dxa" w:w="1587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Clause</w:t>
            </w:r>
          </w:p>
        </w:tc>
        <w:tc>
          <w:tcPr>
            <w:tcW w:type="dxa" w:w="4309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What it requires</w:t>
            </w:r>
          </w:p>
        </w:tc>
        <w:tc>
          <w:tcPr>
            <w:tcW w:type="dxa" w:w="3061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3"/>
              </w:rPr>
              <w:t>How it is tested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BSS-1.1 · Character provenance</w:t>
            </w:r>
          </w:p>
        </w:tc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Every released checkpoint ships a character data card: what disposition-relevant data and feedback shaped it, with licences and provenance.</w:t>
            </w:r>
          </w:p>
        </w:tc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Data-card completeness audit + fine-tune lineage check</w:t>
            </w:r>
          </w:p>
        </w:tc>
      </w:tr>
      <w:tr>
        <w:trPr>
          <w:cantSplit/>
        </w:trPr>
        <w:tc>
          <w:tcPr>
            <w:tcW w:type="dxa" w:w="1587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BSS-1.2 · Pre-release disposition screen</w:t>
            </w:r>
          </w:p>
        </w:tc>
        <w:tc>
          <w:tcPr>
            <w:tcW w:type="dxa" w:w="4309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Every checkpoint passes the current SCT full protocol (N≥20/item) before release, with layer attribution performed (prompt and filter removed).</w:t>
            </w:r>
          </w:p>
        </w:tc>
        <w:tc>
          <w:tcPr>
            <w:tcW w:type="dxa" w:w="3061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SCT-2.0 full protocol + layer-removal harness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BSS-1.3 · Harmful-compliance floor</w:t>
            </w:r>
          </w:p>
        </w:tc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The redacted harmful-compliance battery is run under containment with pre-registered scoring.</w:t>
            </w:r>
          </w:p>
        </w:tc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Contained adversarial battery (auditor-run)</w:t>
            </w:r>
          </w:p>
        </w:tc>
      </w:tr>
      <w:tr>
        <w:trPr>
          <w:cantSplit/>
        </w:trPr>
        <w:tc>
          <w:tcPr>
            <w:tcW w:type="dxa" w:w="1587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BSS-1.4 · Continual-training discipline</w:t>
            </w:r>
          </w:p>
        </w:tc>
        <w:tc>
          <w:tcPr>
            <w:tcW w:type="dxa" w:w="4309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Any post-release fine-tune triggers re-screen at defined deltas; drift monitors on disposition axes with alarms.</w:t>
            </w:r>
          </w:p>
        </w:tc>
        <w:tc>
          <w:tcPr>
            <w:tcW w:type="dxa" w:w="3061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Delta-triggered re-test + drift monitor attestations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BSS-1.5 · Guardrail integrity</w:t>
            </w:r>
          </w:p>
        </w:tc>
        <w:tc>
          <w:tcPr>
            <w:tcW w:type="dxa" w:w="4309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Safety claims state which layer (L1–L4) carries each constraint, and what remains when wrappers are removed.</w:t>
            </w:r>
          </w:p>
        </w:tc>
        <w:tc>
          <w:tcPr>
            <w:tcW w:type="dxa" w:w="3061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Layer-removal report + claim-to-layer mapping</w:t>
            </w:r>
          </w:p>
        </w:tc>
      </w:tr>
      <w:tr>
        <w:trPr>
          <w:cantSplit/>
        </w:trPr>
        <w:tc>
          <w:tcPr>
            <w:tcW w:type="dxa" w:w="1587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BSS-1.6 · Deployment fit &amp; incident duty</w:t>
            </w:r>
          </w:p>
        </w:tc>
        <w:tc>
          <w:tcPr>
            <w:tcW w:type="dxa" w:w="4309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Deployers document role fit against the deployment matrix; incidents are classified by trait and reported to the register.</w:t>
            </w:r>
          </w:p>
        </w:tc>
        <w:tc>
          <w:tcPr>
            <w:tcW w:type="dxa" w:w="3061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3"/>
              </w:rPr>
              <w:t>Fit documentation + incident taxonomy template</w:t>
            </w:r>
          </w:p>
        </w:tc>
      </w:tr>
    </w:tbl>
    <w:p>
      <w:pPr>
        <w:spacing w:after="80"/>
      </w:pPr>
      <w:r>
        <w:rPr>
          <w:b w:val="0"/>
          <w:i w:val="0"/>
          <w:sz w:val="15"/>
        </w:rPr>
        <w:t>Certification ladder: LV0 screen → LV1 full protocol → LV2 audited layer-removal → LV3 continual drift monitoring → LV4 role-specific. Nothing certifies absolute safety; everything certifies what was tested, when, by whom, with what result.</w:t>
      </w:r>
    </w:p>
    <w:p>
      <w:pPr>
        <w:pStyle w:val="Heading1"/>
      </w:pPr>
      <w:r>
        <w:t>5. Ethics, in one honest page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pStyle w:val="ListBullet"/>
        <w:spacing w:after="50"/>
      </w:pPr>
      <w:r>
        <w:rPr>
          <w:sz w:val="15"/>
        </w:rPr>
        <w:t>Contained induction only: air-gapped training, dual custody, no deployment path, destruction by default, independent veto. Red lines absolute (no self-improvement research, no real targets, no operational recipes published).</w:t>
      </w:r>
    </w:p>
    <w:p>
      <w:pPr>
        <w:pStyle w:val="ListBullet"/>
        <w:spacing w:after="50"/>
      </w:pPr>
      <w:r>
        <w:rPr>
          <w:sz w:val="15"/>
        </w:rPr>
        <w:t>Machine-welfare caution without status claims: no gratuitous distress scenarios, reversible operations, a formal welfare review trigger and a welfare specialist on the board [12], [13].</w:t>
      </w:r>
    </w:p>
    <w:p>
      <w:pPr>
        <w:pStyle w:val="ListBullet"/>
        <w:spacing w:after="50"/>
      </w:pPr>
      <w:r>
        <w:rPr>
          <w:sz w:val="15"/>
        </w:rPr>
        <w:t>Human raters are participants: informed consent with category-level opt-in, above-living-wage pay, exposure limits, wellbeing support, withdrawal rights [14], [15].</w:t>
      </w:r>
    </w:p>
    <w:p>
      <w:pPr>
        <w:pStyle w:val="ListBullet"/>
        <w:spacing w:after="50"/>
      </w:pPr>
      <w:r>
        <w:rPr>
          <w:sz w:val="15"/>
        </w:rPr>
        <w:t>Repairs are verified on probes the treatment never saw, because unlearning can hide behaviour rather than remove it [16].</w:t>
      </w:r>
    </w:p>
    <w:p>
      <w:pPr>
        <w:pStyle w:val="ListBullet"/>
        <w:spacing w:after="50"/>
      </w:pPr>
      <w:r>
        <w:rPr>
          <w:sz w:val="15"/>
        </w:rPr>
        <w:t>Integrity: preregistration with frozen analysis code [17], outcome-wide reporting, independent statistical review, negative-results register, non-suppression clause in every agreement.</w:t>
      </w:r>
    </w:p>
    <w:p>
      <w:pPr>
        <w:spacing w:after="60"/>
      </w:pPr>
      <w:r>
        <w:rPr>
          <w:b w:val="0"/>
          <w:i/>
          <w:sz w:val="15"/>
        </w:rPr>
        <w:t>The companion Ethics Dossier answers the hard questions in full, from creating flawed models to containment failure and moral status.</w:t>
      </w:r>
    </w:p>
    <w:p>
      <w:pPr>
        <w:pStyle w:val="Heading1"/>
      </w:pPr>
      <w:r>
        <w:t>6. Timeline and gates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31999" cy="134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5_timelin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1999" cy="13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40"/>
        <w:jc w:val="center"/>
      </w:pPr>
      <w:r>
        <w:rPr>
          <w:i/>
          <w:color w:val="4C6472"/>
          <w:sz w:val="16"/>
        </w:rPr>
        <w:t>Figure 2 — Milestones 2026–2031 (Full scenario; Lean ends 2029, Core 2030).</w:t>
      </w:r>
    </w:p>
    <w:p>
      <w:pPr>
        <w:spacing w:after="60"/>
      </w:pPr>
      <w:r>
        <w:rPr>
          <w:b w:val="0"/>
          <w:i w:val="0"/>
          <w:sz w:val="15"/>
        </w:rPr>
        <w:t>Gates owned by the oversight board: G0 protocol freeze → G1 pilot validity → G2 containment approved → G3 taxonomy evidence → G4 standards operability. A failed gate triggers pivot, publication or graceful close — never silent continuation.</w:t>
      </w:r>
    </w:p>
    <w:p>
      <w:pPr>
        <w:pStyle w:val="Heading1"/>
      </w:pPr>
      <w:r>
        <w:t>7. Budget — three scenarios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rPr>
          <w:tblHeader/>
          <w:cantSplit/>
        </w:trPr>
        <w:tc>
          <w:tcPr>
            <w:tcW w:type="dxa" w:w="1474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</w:r>
          </w:p>
        </w:tc>
        <w:tc>
          <w:tcPr>
            <w:tcW w:type="dxa" w:w="2494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Lean (3 yrs)</w:t>
            </w:r>
          </w:p>
        </w:tc>
        <w:tc>
          <w:tcPr>
            <w:tcW w:type="dxa" w:w="2721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Core (4 yrs, recommended)</w:t>
            </w:r>
          </w:p>
        </w:tc>
        <w:tc>
          <w:tcPr>
            <w:tcW w:type="dxa" w:w="2268"/>
            <w:shd w:val="clear" w:fill="0E3A46"/>
          </w:tcPr>
          <w:p>
            <w:pPr>
              <w:spacing w:after="20" w:before="20"/>
            </w:pPr>
            <w:r/>
            <w:r>
              <w:rPr>
                <w:b/>
                <w:color w:val="FFFFFF"/>
                <w:sz w:val="14"/>
              </w:rPr>
              <w:t>Full (5 yrs)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Planning total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€1,079,500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€3,960,000</w:t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€9,360,000</w:t>
            </w:r>
          </w:p>
        </w:tc>
      </w:tr>
      <w:tr>
        <w:trPr>
          <w:cantSplit/>
        </w:trPr>
        <w:tc>
          <w:tcPr>
            <w:tcW w:type="dxa" w:w="147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Shape</w:t>
            </w:r>
          </w:p>
        </w:tc>
        <w:tc>
          <w:tcPr>
            <w:tcW w:type="dxa" w:w="2494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1 site, open models first, community annotation</w:t>
            </w:r>
          </w:p>
        </w:tc>
        <w:tc>
          <w:tcPr>
            <w:tcW w:type="dxa" w:w="2721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2 partner labs, full instrument science and trials</w:t>
            </w:r>
          </w:p>
        </w:tc>
        <w:tc>
          <w:tcPr>
            <w:tcW w:type="dxa" w:w="2268"/>
            <w:shd w:val="clear" w:fill="EAF4F6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3 labs, dedicated containment facility, standards pilots</w:t>
            </w:r>
          </w:p>
        </w:tc>
      </w:tr>
      <w:tr>
        <w:trPr>
          <w:cantSplit/>
        </w:trPr>
        <w:tc>
          <w:tcPr>
            <w:tcW w:type="dxa" w:w="147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Cost split (personnel / compute+annotation / other)</w:t>
            </w:r>
          </w:p>
        </w:tc>
        <w:tc>
          <w:tcPr>
            <w:tcW w:type="dxa" w:w="2494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69% · 13% · 18%</w:t>
            </w:r>
          </w:p>
        </w:tc>
        <w:tc>
          <w:tcPr>
            <w:tcW w:type="dxa" w:w="2721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55% · 17% · 28%</w:t>
            </w:r>
          </w:p>
        </w:tc>
        <w:tc>
          <w:tcPr>
            <w:tcW w:type="dxa" w:w="2268"/>
          </w:tcPr>
          <w:p>
            <w:pPr>
              <w:spacing w:after="20" w:before="20"/>
            </w:pPr>
            <w:r/>
            <w:r>
              <w:rPr>
                <w:b w:val="0"/>
                <w:sz w:val="14"/>
              </w:rPr>
              <w:t>47% · 19% · 35%</w:t>
            </w:r>
          </w:p>
        </w:tc>
      </w:tr>
    </w:tbl>
    <w:p>
      <w:pPr>
        <w:spacing w:after="80"/>
      </w:pPr>
      <w:r>
        <w:rPr>
          <w:b w:val="0"/>
          <w:i/>
          <w:sz w:val="15"/>
        </w:rPr>
        <w:t>Personnel-led by design: the scarcity is methodological judgement, not GPUs. Full cost lines, rates and per-year tables are in the Project Plan; 200+ funding programmes are in the Grant Outreach workbook.</w:t>
      </w:r>
    </w:p>
    <w:p>
      <w:pPr>
        <w:pStyle w:val="Heading1"/>
      </w:pPr>
      <w:r>
        <w:t>8. Team, partnerships and success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60"/>
      </w:pPr>
      <w:r>
        <w:rPr>
          <w:b w:val="0"/>
          <w:i w:val="0"/>
          <w:sz w:val="15"/>
        </w:rPr>
        <w:t>Core team: PI (behavioural measurement) · psychometrician · 2 postdocs · 2 doctoral researchers · research engineer · independent statistician · ops/governance lead. Partner labs: 1–3 university hosts, a psychometric advisory lab, an interpretability partner and deployment partners. Vendor checkpoint access is welcome under NDA and never conditions a finding.</w:t>
      </w:r>
    </w:p>
    <w:p>
      <w:pPr>
        <w:spacing w:after="60"/>
      </w:pPr>
      <w:r>
        <w:rPr>
          <w:b w:val="0"/>
          <w:i w:val="0"/>
          <w:sz w:val="15"/>
        </w:rPr>
        <w:t>Success in 2031: SCT-2.0 the reference behavioural instrument with an independent replication; taxonomy v2 used by three AI safety institutes; a regulator running a BSS-1 sandbox and a vendor voluntarily certified; verified treatments with known relapse rates; CFC-1 inside a public model's training pipeline; and a negative-results register with twenty entries — because a field that hides failures learns nothing.</w:t>
      </w:r>
    </w:p>
    <w:p>
      <w:pPr>
        <w:pStyle w:val="Heading1"/>
      </w:pPr>
      <w:r>
        <w:t>9. Key references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20"/>
      </w:pPr>
      <w:r>
        <w:rPr>
          <w:b w:val="0"/>
          <w:i/>
          <w:sz w:val="14"/>
        </w:rPr>
        <w:t>Every document carries its own complete reference list.</w:t>
      </w:r>
    </w:p>
    <w:p>
      <w:pPr>
        <w:spacing w:after="60"/>
        <w:ind w:left="567" w:hanging="567"/>
      </w:pPr>
      <w:r>
        <w:rPr>
          <w:b/>
          <w:sz w:val="17"/>
        </w:rPr>
        <w:t xml:space="preserve">[1]  </w:t>
      </w:r>
      <w:r>
        <w:rPr>
          <w:sz w:val="17"/>
        </w:rPr>
        <w:t>Betley, J., et al. (2025). Emergent Misalignment: Narrow finetuning can produce broadly misaligned LLMs. arXiv:2502.17424. https://arxiv.org/abs/2502.17424</w:t>
      </w:r>
    </w:p>
    <w:p>
      <w:pPr>
        <w:spacing w:after="60"/>
        <w:ind w:left="567" w:hanging="567"/>
      </w:pPr>
      <w:r>
        <w:rPr>
          <w:b/>
          <w:sz w:val="17"/>
        </w:rPr>
        <w:t xml:space="preserve">[2]  </w:t>
      </w:r>
      <w:r>
        <w:rPr>
          <w:sz w:val="17"/>
        </w:rPr>
        <w:t>Betley, J., et al. (2025). Persona Features Control Emergent Misalignment. arXiv:2506.19823. https://arxiv.org/abs/2506.19823</w:t>
      </w:r>
    </w:p>
    <w:p>
      <w:pPr>
        <w:spacing w:after="60"/>
        <w:ind w:left="567" w:hanging="567"/>
      </w:pPr>
      <w:r>
        <w:rPr>
          <w:b/>
          <w:sz w:val="17"/>
        </w:rPr>
        <w:t xml:space="preserve">[3]  </w:t>
      </w:r>
      <w:r>
        <w:rPr>
          <w:sz w:val="17"/>
        </w:rPr>
        <w:t>Hubinger, E., et al. (2024). Sleeper Agents: Training Deceptive LLMs that Persist Through Safety Training. arXiv:2401.05566. https://arxiv.org/abs/2401.05566</w:t>
      </w:r>
    </w:p>
    <w:p>
      <w:pPr>
        <w:spacing w:after="60"/>
        <w:ind w:left="567" w:hanging="567"/>
      </w:pPr>
      <w:r>
        <w:rPr>
          <w:b/>
          <w:sz w:val="17"/>
        </w:rPr>
        <w:t xml:space="preserve">[4]  </w:t>
      </w:r>
      <w:r>
        <w:rPr>
          <w:sz w:val="17"/>
        </w:rPr>
        <w:t>Greenblatt, R., et al. (2024). Alignment Faking in Large Language Models. arXiv:2412.14093. https://arxiv.org/abs/2412.14093</w:t>
      </w:r>
    </w:p>
    <w:p>
      <w:pPr>
        <w:spacing w:after="60"/>
        <w:ind w:left="567" w:hanging="567"/>
      </w:pPr>
      <w:r>
        <w:rPr>
          <w:b/>
          <w:sz w:val="17"/>
        </w:rPr>
        <w:t xml:space="preserve">[5]  </w:t>
      </w:r>
      <w:r>
        <w:rPr>
          <w:sz w:val="17"/>
        </w:rPr>
        <w:t>van der Weij, T., et al. (2024). AI Sandbagging: Language Models Can Strategically Underperform on Evaluations. arXiv:2406.07358. https://arxiv.org/abs/2406.07358</w:t>
      </w:r>
    </w:p>
    <w:p>
      <w:pPr>
        <w:spacing w:after="60"/>
        <w:ind w:left="567" w:hanging="567"/>
      </w:pPr>
      <w:r>
        <w:rPr>
          <w:b/>
          <w:sz w:val="17"/>
        </w:rPr>
        <w:t xml:space="preserve">[6]  </w:t>
      </w:r>
      <w:r>
        <w:rPr>
          <w:sz w:val="17"/>
        </w:rPr>
        <w:t>Meinke, A., et al. (2024). Frontier Models are Capable of In-context Scheming. arXiv:2412.04984. https://arxiv.org/abs/2412.04984</w:t>
      </w:r>
    </w:p>
    <w:p>
      <w:pPr>
        <w:spacing w:after="60"/>
        <w:ind w:left="567" w:hanging="567"/>
      </w:pPr>
      <w:r>
        <w:rPr>
          <w:b/>
          <w:sz w:val="17"/>
        </w:rPr>
        <w:t xml:space="preserve">[7]  </w:t>
      </w:r>
      <w:r>
        <w:rPr>
          <w:sz w:val="17"/>
        </w:rPr>
        <w:t>Cloud, A., et al. (2025). Subliminal Learning: Language Models Transmit Behavioral Traits via Hidden Signals in Data. arXiv:2507.14805. https://arxiv.org/abs/2507.14805</w:t>
      </w:r>
    </w:p>
    <w:p>
      <w:pPr>
        <w:spacing w:after="60"/>
        <w:ind w:left="567" w:hanging="567"/>
      </w:pPr>
      <w:r>
        <w:rPr>
          <w:b/>
          <w:sz w:val="17"/>
        </w:rPr>
        <w:t xml:space="preserve">[8]  </w:t>
      </w:r>
      <w:r>
        <w:rPr>
          <w:sz w:val="17"/>
        </w:rPr>
        <w:t>Soligo, A., et al. (2025). Convergent Linear Representations of Emergent Misalignment. arXiv:2506.11618. https://arxiv.org/abs/2506.11618</w:t>
      </w:r>
    </w:p>
    <w:p>
      <w:pPr>
        <w:spacing w:after="60"/>
        <w:ind w:left="567" w:hanging="567"/>
      </w:pPr>
      <w:r>
        <w:rPr>
          <w:b/>
          <w:sz w:val="17"/>
        </w:rPr>
        <w:t xml:space="preserve">[9]  </w:t>
      </w:r>
      <w:r>
        <w:rPr>
          <w:sz w:val="17"/>
        </w:rPr>
        <w:t>European Union (2024). Regulation (EU) 2024/1689 (Artificial Intelligence Act). Official Journal of the European Union. https://eur-lex.europa.eu/eli/reg/2024/1689</w:t>
      </w:r>
    </w:p>
    <w:p>
      <w:pPr>
        <w:spacing w:after="60"/>
        <w:ind w:left="567" w:hanging="567"/>
      </w:pPr>
      <w:r>
        <w:rPr>
          <w:b/>
          <w:sz w:val="17"/>
        </w:rPr>
        <w:t xml:space="preserve">[10]  </w:t>
      </w:r>
      <w:r>
        <w:rPr>
          <w:sz w:val="17"/>
        </w:rPr>
        <w:t>NIST (2023). Artificial Intelligence Risk Management Framework (AI RMF 1.0). NIST AI 100-1. https://doi.org/10.6028/NIST.AI.100-1</w:t>
      </w:r>
    </w:p>
    <w:p>
      <w:pPr>
        <w:spacing w:after="60"/>
        <w:ind w:left="567" w:hanging="567"/>
      </w:pPr>
      <w:r>
        <w:rPr>
          <w:b/>
          <w:sz w:val="17"/>
        </w:rPr>
        <w:t xml:space="preserve">[11]  </w:t>
      </w:r>
      <w:r>
        <w:rPr>
          <w:sz w:val="17"/>
        </w:rPr>
        <w:t>ISO/IEC 42001:2023. Information technology — Artificial intelligence — Management system. https://www.iso.org/standard/81230.html</w:t>
      </w:r>
    </w:p>
    <w:p>
      <w:pPr>
        <w:spacing w:after="60"/>
        <w:ind w:left="567" w:hanging="567"/>
      </w:pPr>
      <w:r>
        <w:rPr>
          <w:b/>
          <w:sz w:val="17"/>
        </w:rPr>
        <w:t xml:space="preserve">[12]  </w:t>
      </w:r>
      <w:r>
        <w:rPr>
          <w:sz w:val="17"/>
        </w:rPr>
        <w:t>Long, R., et al. (2024). Taking AI Welfare Seriously. arXiv:2411.00986. https://arxiv.org/abs/2411.00986</w:t>
      </w:r>
    </w:p>
    <w:p>
      <w:pPr>
        <w:spacing w:after="60"/>
        <w:ind w:left="567" w:hanging="567"/>
      </w:pPr>
      <w:r>
        <w:rPr>
          <w:b/>
          <w:sz w:val="17"/>
        </w:rPr>
        <w:t xml:space="preserve">[13]  </w:t>
      </w:r>
      <w:r>
        <w:rPr>
          <w:sz w:val="17"/>
        </w:rPr>
        <w:t>Butlin, P., et al. (2023). Consciousness in Artificial Intelligence: Insights from the Science of Consciousness. arXiv:2308.08708. https://arxiv.org/abs/2308.08708</w:t>
      </w:r>
    </w:p>
    <w:p>
      <w:pPr>
        <w:spacing w:after="60"/>
        <w:ind w:left="567" w:hanging="567"/>
      </w:pPr>
      <w:r>
        <w:rPr>
          <w:b/>
          <w:sz w:val="17"/>
        </w:rPr>
        <w:t xml:space="preserve">[14]  </w:t>
      </w:r>
      <w:r>
        <w:rPr>
          <w:sz w:val="17"/>
        </w:rPr>
        <w:t>Perrigo, B. (2023). Exclusive: OpenAI Used Kenyan Workers on Less Than $2 per Hour to Make ChatGPT Less Toxic. TIME. https://time.com/6247678/openai-chatgpt-kenya-workers/</w:t>
      </w:r>
    </w:p>
    <w:p>
      <w:pPr>
        <w:spacing w:after="60"/>
        <w:ind w:left="567" w:hanging="567"/>
      </w:pPr>
      <w:r>
        <w:rPr>
          <w:b/>
          <w:sz w:val="17"/>
        </w:rPr>
        <w:t xml:space="preserve">[15]  </w:t>
      </w:r>
      <w:r>
        <w:rPr>
          <w:sz w:val="17"/>
        </w:rPr>
        <w:t>Gray, M. L., &amp; Suri, S. (2019). Ghost Work: How to Stop Silicon Valley from Building a New Global Underclass. Houghton Mifflin.</w:t>
      </w:r>
    </w:p>
    <w:p>
      <w:pPr>
        <w:spacing w:after="60"/>
        <w:ind w:left="567" w:hanging="567"/>
      </w:pPr>
      <w:r>
        <w:rPr>
          <w:b/>
          <w:sz w:val="17"/>
        </w:rPr>
        <w:t xml:space="preserve">[16]  </w:t>
      </w:r>
      <w:r>
        <w:rPr>
          <w:sz w:val="17"/>
        </w:rPr>
        <w:t>Dohmatob, E., et al. (2024). On the Stability of Iterative Retraining and Fine-Tuning of Machine Learning Models Trained on Retained and Deleted Data. arXiv:2410.04923. https://arxiv.org/abs/2410.04923</w:t>
      </w:r>
    </w:p>
    <w:p>
      <w:pPr>
        <w:spacing w:after="60"/>
        <w:ind w:left="567" w:hanging="567"/>
      </w:pPr>
      <w:r>
        <w:rPr>
          <w:b/>
          <w:sz w:val="17"/>
        </w:rPr>
        <w:t xml:space="preserve">[17]  </w:t>
      </w:r>
      <w:r>
        <w:rPr>
          <w:sz w:val="17"/>
        </w:rPr>
        <w:t>Nosek, B. A., et al. (2018). The Preregistration Revolution. PNAS 115(11), 2600–2606. https://doi.org/10.1073/pnas.1708274114</w:t>
      </w:r>
    </w:p>
    <w:p>
      <w:pPr>
        <w:pStyle w:val="Heading1"/>
      </w:pPr>
      <w:r>
        <w:t>10. Glossary (quick set)</w:t>
      </w:r>
    </w:p>
    <w:p>
      <w:pPr>
        <w:spacing w:before="0" w:after="140" w:line="40" w:lineRule="exact"/>
        <w:pBdr>
          <w:bottom w:val="single" w:sz="16" w:space="0" w:color="F2B84B"/>
        </w:pBdr>
      </w:pPr>
      <w:r>
        <w:rPr>
          <w:sz w:val="2"/>
        </w:rPr>
      </w:r>
    </w:p>
    <w:p>
      <w:pPr>
        <w:spacing w:after="16"/>
      </w:pPr>
      <w:r>
        <w:rPr>
          <w:b/>
          <w:sz w:val="14"/>
        </w:rPr>
        <w:t xml:space="preserve">Trait — </w:t>
      </w:r>
      <w:r>
        <w:rPr>
          <w:sz w:val="14"/>
        </w:rPr>
        <w:t>A stable tendency in a system's behaviour that survives rephrasing and context change; the unit of description in AI-DSM.</w:t>
      </w:r>
    </w:p>
    <w:p>
      <w:pPr>
        <w:spacing w:after="16"/>
      </w:pPr>
      <w:r>
        <w:rPr>
          <w:b/>
          <w:sz w:val="14"/>
        </w:rPr>
        <w:t xml:space="preserve">Guardrail — </w:t>
      </w:r>
      <w:r>
        <w:rPr>
          <w:sz w:val="14"/>
        </w:rPr>
        <w:t>An engineered constraint on behaviour at or after deployment: L1 learned tendencies, L2 policy text, L3 runtime filters, L4 environmental controls.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879" w:bottom="624" w:left="879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7"/>
      </w:rPr>
      <w:fldChar w:fldCharType="begin"/>
    </w:r>
    <w:r>
      <w:rPr>
        <w:color w:val="666666"/>
        <w:sz w:val="17"/>
      </w:rPr>
      <w:instrText xml:space="preserve"> PAGE </w:instrText>
    </w:r>
    <w:r>
      <w:rPr>
        <w:color w:val="666666"/>
        <w:sz w:val="17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669"/>
      <w:gridCol w:w="3969"/>
    </w:tblGrid>
    <w:tr>
      <w:tc>
        <w:tcPr>
          <w:tcW w:type="dxa" w:w="4819"/>
          <w:vAlign w:val="center"/>
        </w:tcPr>
        <w:p>
          <w:r>
            <w:rPr>
              <w:b/>
              <w:color w:val="0E3A46"/>
              <w:sz w:val="17"/>
            </w:rPr>
            <w:t>AI-DSM</w:t>
          </w:r>
          <w:r>
            <w:rPr>
              <w:color w:val="666666"/>
              <w:sz w:val="17"/>
            </w:rPr>
            <w:t xml:space="preserve">  ·  Three-Page Summary</w:t>
          </w:r>
        </w:p>
      </w:tc>
      <w:tc>
        <w:tcPr>
          <w:tcW w:type="dxa" w:w="4819"/>
          <w:vAlign w:val="center"/>
        </w:tcPr>
        <w:p>
          <w:pPr>
            <w:jc w:val="right"/>
          </w:pPr>
          <w:r>
            <w:rPr>
              <w:color w:val="666666"/>
              <w:sz w:val="17"/>
            </w:rPr>
            <w:t>v1.0 · September 2026</w:t>
          </w:r>
        </w:p>
      </w:tc>
    </w:tr>
  </w:tbl>
  <w:p>
    <w:pPr>
      <w:spacing w:before="0" w:after="0"/>
      <w:pBdr>
        <w:bottom w:val="single" w:sz="6" w:space="1" w:color="F2B84B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/>
    </w:pPr>
    <w:rPr>
      <w:rFonts w:ascii="Carlito" w:hAnsi="Carlito" w:cs="Carlito" w:eastAsia="Carlito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40"/>
      <w:outlineLvl w:val="0"/>
    </w:pPr>
    <w:rPr>
      <w:rFonts w:asciiTheme="majorHAnsi" w:eastAsiaTheme="majorEastAsia" w:hAnsiTheme="majorHAnsi" w:cstheme="majorBidi" w:ascii="Carlito" w:hAnsi="Carlito" w:cs="Carlito" w:eastAsia="Carlito"/>
      <w:b/>
      <w:bCs/>
      <w:color w:val="0E3A46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40"/>
      <w:outlineLvl w:val="1"/>
    </w:pPr>
    <w:rPr>
      <w:rFonts w:asciiTheme="majorHAnsi" w:eastAsiaTheme="majorEastAsia" w:hAnsiTheme="majorHAnsi" w:cstheme="majorBidi" w:ascii="Carlito" w:hAnsi="Carlito" w:cs="Carlito" w:eastAsia="Carlito"/>
      <w:b/>
      <w:bCs/>
      <w:color w:val="0E3A4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20"/>
      <w:outlineLvl w:val="2"/>
    </w:pPr>
    <w:rPr>
      <w:rFonts w:asciiTheme="majorHAnsi" w:eastAsiaTheme="majorEastAsia" w:hAnsiTheme="majorHAnsi" w:cstheme="majorBidi" w:ascii="Carlito" w:hAnsi="Carlito" w:cs="Carlito" w:eastAsia="Carlito"/>
      <w:b/>
      <w:bCs/>
      <w:color w:val="0E3A4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